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6"/>
      </w:pPr>
      <w:r>
        <w:t xml:space="preserve">Документ предоставлен </w:t>
      </w:r>
      <w:hyperlink r:id="rId9" w:tooltip="https://www.consultant.ru" w:history="1">
        <w:r>
          <w:rPr>
            <w:color w:val="0000ff"/>
          </w:rPr>
          <w:t xml:space="preserve">КонсультантПлюс</w:t>
        </w:r>
      </w:hyperlink>
      <w:r>
        <w:br/>
      </w:r>
      <w:r/>
    </w:p>
    <w:p>
      <w:pPr>
        <w:pStyle w:val="621"/>
        <w:jc w:val="both"/>
        <w:outlineLvl w:val="0"/>
      </w:pPr>
      <w:r/>
      <w:r/>
    </w:p>
    <w:p>
      <w:pPr>
        <w:pStyle w:val="623"/>
        <w:jc w:val="center"/>
        <w:outlineLvl w:val="0"/>
      </w:pPr>
      <w:r>
        <w:t xml:space="preserve">АДМИНИСТРАЦИЯ ГУБКИНСКОГО ГОРОДСКОГО ОКРУГА</w:t>
      </w:r>
      <w:r/>
    </w:p>
    <w:p>
      <w:pPr>
        <w:pStyle w:val="623"/>
        <w:jc w:val="center"/>
      </w:pPr>
      <w:r>
        <w:t xml:space="preserve">БЕЛГОРОДСКОЙ ОБЛАСТИ</w:t>
      </w:r>
      <w:r/>
    </w:p>
    <w:p>
      <w:pPr>
        <w:pStyle w:val="623"/>
        <w:jc w:val="center"/>
      </w:pPr>
      <w:r/>
      <w:r/>
    </w:p>
    <w:p>
      <w:pPr>
        <w:pStyle w:val="623"/>
        <w:jc w:val="center"/>
      </w:pPr>
      <w:r>
        <w:t xml:space="preserve">ПОСТАНОВЛЕНИЕ</w:t>
      </w:r>
      <w:r/>
    </w:p>
    <w:p>
      <w:pPr>
        <w:pStyle w:val="623"/>
        <w:jc w:val="center"/>
      </w:pPr>
      <w:r>
        <w:t xml:space="preserve">от 24 декабря 2024 г. N 1662-па</w:t>
      </w:r>
      <w:r/>
    </w:p>
    <w:p>
      <w:pPr>
        <w:pStyle w:val="623"/>
        <w:jc w:val="center"/>
      </w:pPr>
      <w:r/>
      <w:r/>
    </w:p>
    <w:p>
      <w:pPr>
        <w:pStyle w:val="623"/>
        <w:jc w:val="center"/>
      </w:pPr>
      <w:r>
        <w:t xml:space="preserve">ОБ УТВЕРЖДЕНИИ МУНИЦИПАЛЬНОЙ ПРОГРАММЫ "РАЗВИТИЕ</w:t>
      </w:r>
      <w:r/>
    </w:p>
    <w:p>
      <w:pPr>
        <w:pStyle w:val="623"/>
        <w:jc w:val="center"/>
      </w:pPr>
      <w:r>
        <w:t xml:space="preserve">ЭКОНОМИЧЕСКОГО ПОТЕНЦИАЛА И ФОРМИРОВАНИЕ БЛАГОПРИЯТНОГО</w:t>
      </w:r>
      <w:r/>
    </w:p>
    <w:p>
      <w:pPr>
        <w:pStyle w:val="623"/>
        <w:jc w:val="center"/>
      </w:pPr>
      <w:r>
        <w:t xml:space="preserve">ПРЕДПРИНИМАТЕЛЬСКОГО КЛИМАТА В ГУБКИНСКОМ</w:t>
      </w:r>
      <w:r/>
    </w:p>
    <w:p>
      <w:pPr>
        <w:pStyle w:val="623"/>
        <w:jc w:val="center"/>
      </w:pPr>
      <w:r>
        <w:t xml:space="preserve">ГОРОДСКОМ ОКРУГЕ БЕЛГОРОДСКОЙ ОБЛАСТИ"</w:t>
      </w:r>
      <w:r/>
    </w:p>
    <w:p>
      <w:pPr>
        <w:pStyle w:val="621"/>
        <w:jc w:val="both"/>
      </w:pPr>
      <w:r/>
      <w:r/>
    </w:p>
    <w:p>
      <w:pPr>
        <w:pStyle w:val="621"/>
        <w:ind w:firstLine="540"/>
        <w:jc w:val="both"/>
      </w:pPr>
      <w:r>
        <w:t xml:space="preserve">В соответствии с Бюджетным </w:t>
      </w:r>
      <w:hyperlink r:id="rId10" w:tooltip="https://login.consultant.ru/link/?req=doc&amp;base=LAW&amp;n=503620" w:history="1">
        <w:r>
          <w:rPr>
            <w:color w:val="0000ff"/>
          </w:rPr>
          <w:t xml:space="preserve">кодексом</w:t>
        </w:r>
      </w:hyperlink>
      <w:r>
        <w:t xml:space="preserve"> Российской Федерации, Федеральными законами от 6 октября 2003 года </w:t>
      </w:r>
      <w:hyperlink r:id="rId11" w:tooltip="https://login.consultant.ru/link/?req=doc&amp;base=LAW&amp;n=480999" w:history="1">
        <w:r>
          <w:rPr>
            <w:color w:val="0000ff"/>
          </w:rPr>
          <w:t xml:space="preserve">N 131-ФЗ</w:t>
        </w:r>
      </w:hyperlink>
      <w:r>
        <w:t xml:space="preserve"> "Об общих принципах организации местного самоуправления в Российской Федерации", от 24 июля 2007 года </w:t>
      </w:r>
      <w:hyperlink r:id="rId12" w:tooltip="https://login.consultant.ru/link/?req=doc&amp;base=LAW&amp;n=481359" w:history="1">
        <w:r>
          <w:rPr>
            <w:color w:val="0000ff"/>
          </w:rPr>
          <w:t xml:space="preserve">N 209-ФЗ</w:t>
        </w:r>
      </w:hyperlink>
      <w:r>
        <w:t xml:space="preserve"> "О развитии малого и среднего предпринимательства в Российской Федерации", </w:t>
      </w:r>
      <w:hyperlink r:id="rId13" w:tooltip="https://login.consultant.ru/link/?req=doc&amp;base=RLAW404&amp;n=104166" w:history="1">
        <w:r>
          <w:rPr>
            <w:color w:val="0000ff"/>
          </w:rPr>
          <w:t xml:space="preserve">постановлением</w:t>
        </w:r>
      </w:hyperlink>
      <w:r>
        <w:t xml:space="preserve"> Правительства Белгородской области от 25 декабря 2023 года N 750-пп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</w:t>
      </w:r>
      <w:hyperlink r:id="rId14" w:tooltip="https://login.consultant.ru/link/?req=doc&amp;base=RLAW404&amp;n=102793" w:history="1">
        <w:r>
          <w:rPr>
            <w:color w:val="0000ff"/>
          </w:rPr>
          <w:t xml:space="preserve">Уставом</w:t>
        </w:r>
      </w:hyperlink>
      <w:r>
        <w:t xml:space="preserve"> Губкинского городского округа Белгородской области, постановлениями администрации Губкинского городского округа от 31 октября 2024 года </w:t>
      </w:r>
      <w:hyperlink r:id="rId15" w:tooltip="https://login.consultant.ru/link/?req=doc&amp;base=RLAW404&amp;n=102585" w:history="1">
        <w:r>
          <w:rPr>
            <w:color w:val="0000ff"/>
          </w:rPr>
          <w:t xml:space="preserve">N 1379-па</w:t>
        </w:r>
      </w:hyperlink>
      <w:r>
        <w:t xml:space="preserve"> "О системе управления муниципальными программами Губкинского городского округа Белгородской области", от 8 ноября 2024 года </w:t>
      </w:r>
      <w:hyperlink r:id="rId16" w:tooltip="https://login.consultant.ru/link/?req=doc&amp;base=RLAW404&amp;n=103178" w:history="1">
        <w:r>
          <w:rPr>
            <w:color w:val="0000ff"/>
          </w:rPr>
          <w:t xml:space="preserve">N 1428-па</w:t>
        </w:r>
      </w:hyperlink>
      <w:r>
        <w:t xml:space="preserve"> "Об утверждении Перечня муниципальных программ Губкинского городского округа Белгородской области" администрация Губкинского городского округа постановляет:</w:t>
      </w:r>
      <w:r/>
    </w:p>
    <w:p>
      <w:pPr>
        <w:pStyle w:val="621"/>
        <w:jc w:val="both"/>
      </w:pPr>
      <w:r/>
      <w:r/>
    </w:p>
    <w:p>
      <w:pPr>
        <w:pStyle w:val="621"/>
        <w:ind w:firstLine="540"/>
        <w:jc w:val="both"/>
      </w:pPr>
      <w:r>
        <w:t xml:space="preserve">1. Утвердить муниципальную </w:t>
      </w:r>
      <w:hyperlink w:tooltip="#P64" w:anchor="P64" w:history="1">
        <w:r>
          <w:rPr>
            <w:color w:val="0000ff"/>
          </w:rPr>
          <w:t xml:space="preserve">программу</w:t>
        </w:r>
      </w:hyperlink>
      <w:r>
        <w:t xml:space="preserve"> Губкинского городского округа Белгородской области "Развитие экономического потенциала и формирование благоприятного предпринимательского климата в Губкинском городском округе Белгородской области" (далее - муниципальная программа, прилагается).</w:t>
      </w:r>
      <w:r/>
    </w:p>
    <w:p>
      <w:pPr>
        <w:pStyle w:val="621"/>
        <w:jc w:val="both"/>
      </w:pPr>
      <w:r/>
      <w:r/>
    </w:p>
    <w:p>
      <w:pPr>
        <w:pStyle w:val="621"/>
        <w:ind w:firstLine="540"/>
        <w:jc w:val="both"/>
      </w:pPr>
      <w:r>
        <w:t xml:space="preserve">2. Управлению экономики и ценовой политики (Литвинова О.В.), управлению потребительского рынка, быт</w:t>
      </w:r>
      <w:r>
        <w:t xml:space="preserve">овых услуг и защиты прав потребителей (Пашкова И.А.), комитету по управлению муниципальной собственностью (Викторова О.В.), отделу по труду (Скобеева Е.Н.), управлению финансов и бюджетной политики (Горбач И.И.) обеспечить реализацию мероприятий Программы.</w:t>
      </w:r>
      <w:r/>
    </w:p>
    <w:p>
      <w:pPr>
        <w:pStyle w:val="621"/>
        <w:jc w:val="both"/>
      </w:pPr>
      <w:r/>
      <w:r/>
    </w:p>
    <w:p>
      <w:pPr>
        <w:pStyle w:val="621"/>
        <w:ind w:firstLine="540"/>
        <w:jc w:val="both"/>
        <w:spacing w:before="0" w:beforeAutospacing="0"/>
      </w:pPr>
      <w:r>
        <w:t xml:space="preserve">3. Признать утратившими силу постановления администрации Губкинского городского округа: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10 октября 2013 года </w:t>
      </w:r>
      <w:hyperlink r:id="rId17" w:tooltip="https://login.consultant.ru/link/?req=doc&amp;base=RLAW404&amp;n=104045" w:history="1">
        <w:r>
          <w:rPr>
            <w:color w:val="0000ff"/>
          </w:rPr>
          <w:t xml:space="preserve">N 2458-па</w:t>
        </w:r>
      </w:hyperlink>
      <w:r>
        <w:t xml:space="preserve"> "Об утверждении муниципальной программы "Развитие экономического потенциала и формирование благоприятного предпринимательского климата в Губкинском городском округе Белгородской области";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30 апреля 2014 года </w:t>
      </w:r>
      <w:hyperlink r:id="rId18" w:tooltip="https://login.consultant.ru/link/?req=doc&amp;base=RLAW404&amp;n=39295" w:history="1">
        <w:r>
          <w:rPr>
            <w:color w:val="0000ff"/>
          </w:rPr>
          <w:t xml:space="preserve">N 904-па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22 августа 2014 года </w:t>
      </w:r>
      <w:hyperlink r:id="rId19" w:tooltip="https://login.consultant.ru/link/?req=doc&amp;base=RLAW404&amp;n=40509" w:history="1">
        <w:r>
          <w:rPr>
            <w:color w:val="0000ff"/>
          </w:rPr>
          <w:t xml:space="preserve">N 1904-па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25 марта 2015 года </w:t>
      </w:r>
      <w:hyperlink r:id="rId20" w:tooltip="https://login.consultant.ru/link/?req=doc&amp;base=RLAW404&amp;n=43924" w:history="1">
        <w:r>
          <w:rPr>
            <w:color w:val="0000ff"/>
          </w:rPr>
          <w:t xml:space="preserve">N 619-па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29 декабря 2015 года </w:t>
      </w:r>
      <w:hyperlink r:id="rId21" w:tooltip="https://login.consultant.ru/link/?req=doc&amp;base=RLAW404&amp;n=50780" w:history="1">
        <w:r>
          <w:rPr>
            <w:color w:val="0000ff"/>
          </w:rPr>
          <w:t xml:space="preserve">N 2609-па</w:t>
        </w:r>
      </w:hyperlink>
      <w:r>
        <w:t xml:space="preserve"> "О внесении изменения в постановление </w:t>
      </w:r>
      <w:r>
        <w:t xml:space="preserve">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29 декабря 2016 года </w:t>
      </w:r>
      <w:hyperlink r:id="rId22" w:tooltip="https://login.consultant.ru/link/?req=doc&amp;base=RLAW404&amp;n=55368" w:history="1">
        <w:r>
          <w:rPr>
            <w:color w:val="0000ff"/>
          </w:rPr>
          <w:t xml:space="preserve">N 2789-па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28 декабря 2017 года </w:t>
      </w:r>
      <w:hyperlink r:id="rId23" w:tooltip="https://login.consultant.ru/link/?req=doc&amp;base=RLAW404&amp;n=61824" w:history="1">
        <w:r>
          <w:rPr>
            <w:color w:val="0000ff"/>
          </w:rPr>
          <w:t xml:space="preserve">N 2033-па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25 апреля 2018 года </w:t>
      </w:r>
      <w:hyperlink r:id="rId24" w:tooltip="https://login.consultant.ru/link/?req=doc&amp;base=RLAW404&amp;n=62587" w:history="1">
        <w:r>
          <w:rPr>
            <w:color w:val="0000ff"/>
          </w:rPr>
          <w:t xml:space="preserve">N 633-па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24 августа 2018 года </w:t>
      </w:r>
      <w:hyperlink r:id="rId25" w:tooltip="https://login.consultant.ru/link/?req=doc&amp;base=RLAW404&amp;n=64385" w:history="1">
        <w:r>
          <w:rPr>
            <w:color w:val="0000ff"/>
          </w:rPr>
          <w:t xml:space="preserve">N 1362-па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27 декабря 2018 года </w:t>
      </w:r>
      <w:hyperlink r:id="rId26" w:tooltip="https://login.consultant.ru/link/?req=doc&amp;base=RLAW404&amp;n=67513" w:history="1">
        <w:r>
          <w:rPr>
            <w:color w:val="0000ff"/>
          </w:rPr>
          <w:t xml:space="preserve">N 2175-па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18 сентября 2019 года </w:t>
      </w:r>
      <w:hyperlink r:id="rId27" w:tooltip="https://login.consultant.ru/link/?req=doc&amp;base=RLAW404&amp;n=70779" w:history="1">
        <w:r>
          <w:rPr>
            <w:color w:val="0000ff"/>
          </w:rPr>
          <w:t xml:space="preserve">N 1612-па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25 декабря 2019 года </w:t>
      </w:r>
      <w:hyperlink r:id="rId28" w:tooltip="https://login.consultant.ru/link/?req=doc&amp;base=RLAW404&amp;n=73136" w:history="1">
        <w:r>
          <w:rPr>
            <w:color w:val="0000ff"/>
          </w:rPr>
          <w:t xml:space="preserve">N 2250-па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28 августа 2020 года </w:t>
      </w:r>
      <w:hyperlink r:id="rId29" w:tooltip="https://login.consultant.ru/link/?req=doc&amp;base=RLAW404&amp;n=77663" w:history="1">
        <w:r>
          <w:rPr>
            <w:color w:val="0000ff"/>
          </w:rPr>
          <w:t xml:space="preserve">N 1164-па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26 декабря 2020 года </w:t>
      </w:r>
      <w:hyperlink r:id="rId30" w:tooltip="https://login.consultant.ru/link/?req=doc&amp;base=RLAW404&amp;n=79977" w:history="1">
        <w:r>
          <w:rPr>
            <w:color w:val="0000ff"/>
          </w:rPr>
          <w:t xml:space="preserve">N 1945-па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1 апреля 2021 года </w:t>
      </w:r>
      <w:hyperlink r:id="rId31" w:tooltip="https://login.consultant.ru/link/?req=doc&amp;base=RLAW404&amp;n=80996" w:history="1">
        <w:r>
          <w:rPr>
            <w:color w:val="0000ff"/>
          </w:rPr>
          <w:t xml:space="preserve">N 448-па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14 октября 2021 года </w:t>
      </w:r>
      <w:hyperlink r:id="rId32" w:tooltip="https://login.consultant.ru/link/?req=doc&amp;base=RLAW404&amp;n=82556" w:history="1">
        <w:r>
          <w:rPr>
            <w:color w:val="0000ff"/>
          </w:rPr>
          <w:t xml:space="preserve">N 1636-па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27 декабря 2021 года </w:t>
      </w:r>
      <w:hyperlink r:id="rId33" w:tooltip="https://login.consultant.ru/link/?req=doc&amp;base=RLAW404&amp;n=84746" w:history="1">
        <w:r>
          <w:rPr>
            <w:color w:val="0000ff"/>
          </w:rPr>
          <w:t xml:space="preserve">N 2223-па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21 декабря 2022 года </w:t>
      </w:r>
      <w:hyperlink r:id="rId34" w:tooltip="https://login.consultant.ru/link/?req=doc&amp;base=RLAW404&amp;n=94049" w:history="1">
        <w:r>
          <w:rPr>
            <w:color w:val="0000ff"/>
          </w:rPr>
          <w:t xml:space="preserve">N 2571-па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24 марта 2023 года </w:t>
      </w:r>
      <w:hyperlink r:id="rId35" w:tooltip="https://login.consultant.ru/link/?req=doc&amp;base=RLAW404&amp;n=95519" w:history="1">
        <w:r>
          <w:rPr>
            <w:color w:val="0000ff"/>
          </w:rPr>
          <w:t xml:space="preserve">N 429-па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16 октября 2023 года </w:t>
      </w:r>
      <w:hyperlink r:id="rId36" w:tooltip="https://login.consultant.ru/link/?req=doc&amp;base=RLAW404&amp;n=95582" w:history="1">
        <w:r>
          <w:rPr>
            <w:color w:val="0000ff"/>
          </w:rPr>
          <w:t xml:space="preserve">N 1432-па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21 марта 2024 года </w:t>
      </w:r>
      <w:hyperlink r:id="rId37" w:tooltip="https://login.consultant.ru/link/?req=doc&amp;base=RLAW404&amp;n=100402" w:history="1">
        <w:r>
          <w:rPr>
            <w:color w:val="0000ff"/>
          </w:rPr>
          <w:t xml:space="preserve">N 332-па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621"/>
        <w:ind w:firstLine="540"/>
        <w:jc w:val="both"/>
        <w:spacing w:before="0" w:beforeAutospacing="0"/>
      </w:pPr>
      <w:r>
        <w:t xml:space="preserve">- от 28 июня 2024 года </w:t>
      </w:r>
      <w:hyperlink r:id="rId38" w:tooltip="https://login.consultant.ru/link/?req=doc&amp;base=RLAW404&amp;n=100877" w:history="1">
        <w:r>
          <w:rPr>
            <w:color w:val="0000ff"/>
          </w:rPr>
          <w:t xml:space="preserve">N 819-па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2458-па".</w:t>
      </w:r>
      <w:r/>
    </w:p>
    <w:p>
      <w:pPr>
        <w:pStyle w:val="621"/>
        <w:jc w:val="both"/>
        <w:spacing w:before="0" w:beforeAutospacing="0"/>
      </w:pPr>
      <w:r/>
      <w:r/>
    </w:p>
    <w:p>
      <w:pPr>
        <w:pStyle w:val="621"/>
        <w:ind w:firstLine="540"/>
        <w:jc w:val="both"/>
        <w:spacing w:before="0" w:beforeAutospacing="0"/>
      </w:pPr>
      <w:r>
        <w:t xml:space="preserve">4. Опубликовать постановление в средствах массовой информации.</w:t>
      </w:r>
      <w:r/>
    </w:p>
    <w:p>
      <w:pPr>
        <w:pStyle w:val="621"/>
        <w:jc w:val="both"/>
        <w:spacing w:before="0" w:beforeAutospacing="0"/>
      </w:pPr>
      <w:r/>
      <w:r/>
    </w:p>
    <w:p>
      <w:pPr>
        <w:pStyle w:val="621"/>
        <w:ind w:firstLine="540"/>
        <w:jc w:val="both"/>
        <w:spacing w:before="0" w:beforeAutospacing="0"/>
      </w:pPr>
      <w:r>
        <w:t xml:space="preserve">5. Настоящее постановление вступает в силу с 1 января 2025 года.</w:t>
      </w:r>
      <w:r/>
    </w:p>
    <w:p>
      <w:pPr>
        <w:pStyle w:val="621"/>
        <w:jc w:val="both"/>
        <w:spacing w:before="0" w:beforeAutospacing="0"/>
      </w:pPr>
      <w:r/>
      <w:r/>
    </w:p>
    <w:p>
      <w:pPr>
        <w:pStyle w:val="621"/>
        <w:ind w:firstLine="540"/>
        <w:jc w:val="both"/>
        <w:spacing w:before="0" w:beforeAutospacing="0"/>
      </w:pPr>
      <w:r>
        <w:t xml:space="preserve">6. Контроль за исполнением постановления возложить на исполняющую обязанности заместителя главы администрации по инвестиционной политике и экономическому развитию Шапченко Ю.П.</w:t>
      </w:r>
      <w:r/>
    </w:p>
    <w:p>
      <w:pPr>
        <w:pStyle w:val="621"/>
        <w:jc w:val="both"/>
      </w:pPr>
      <w:r/>
      <w:r/>
    </w:p>
    <w:p>
      <w:pPr>
        <w:pStyle w:val="621"/>
        <w:jc w:val="right"/>
      </w:pPr>
      <w:r>
        <w:t xml:space="preserve">Глава администрации</w:t>
      </w:r>
      <w:r/>
    </w:p>
    <w:p>
      <w:pPr>
        <w:pStyle w:val="621"/>
        <w:jc w:val="right"/>
      </w:pPr>
      <w:r>
        <w:t xml:space="preserve">Губкинского городского округа</w:t>
      </w:r>
      <w:r/>
    </w:p>
    <w:p>
      <w:pPr>
        <w:pStyle w:val="621"/>
        <w:jc w:val="right"/>
      </w:pPr>
      <w:r>
        <w:t xml:space="preserve">М.А.ЛОБАЗНОВ</w:t>
      </w:r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>
        <w:t xml:space="preserve"> </w:t>
      </w:r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pStyle w:val="621"/>
        <w:jc w:val="both"/>
      </w:pPr>
      <w:r/>
      <w:r/>
    </w:p>
    <w:p>
      <w:pPr>
        <w:ind w:right="283"/>
        <w:jc w:val="center"/>
        <w:spacing w:before="0" w:beforeAutospacing="0" w:after="0" w:afterAutospacing="0" w:line="17" w:lineRule="atLeast"/>
        <w:widowControl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                                                                                               </w:t>
      </w: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Приложение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  <w:lang w:eastAsia="en-US"/>
        </w:rPr>
      </w:r>
    </w:p>
    <w:p>
      <w:pPr>
        <w:ind w:right="283"/>
        <w:jc w:val="center"/>
        <w:spacing w:before="0" w:beforeAutospacing="0" w:after="0" w:afterAutospacing="0" w:line="17" w:lineRule="atLeast"/>
        <w:widowControl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                               </w:t>
      </w: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                                                               к постановлению администрации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  <w:lang w:eastAsia="en-US"/>
        </w:rPr>
      </w:r>
      <w:r>
        <w:rPr>
          <w:rFonts w:ascii="Arial" w:hAnsi="Arial" w:eastAsia="Arial" w:cs="Arial"/>
          <w:b/>
          <w:bCs/>
          <w:sz w:val="20"/>
          <w:szCs w:val="20"/>
          <w:lang w:eastAsia="en-US"/>
        </w:rPr>
      </w:r>
    </w:p>
    <w:p>
      <w:pPr>
        <w:ind w:right="283"/>
        <w:jc w:val="center"/>
        <w:spacing w:before="0" w:beforeAutospacing="0" w:after="0" w:afterAutospacing="0" w:line="17" w:lineRule="atLeast"/>
        <w:widowControl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                                                                                            </w:t>
      </w: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Губкинского</w:t>
      </w: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городского округа                                                         </w:t>
      </w:r>
      <w:r>
        <w:rPr>
          <w:rFonts w:ascii="Arial" w:hAnsi="Arial" w:eastAsia="Arial" w:cs="Arial"/>
          <w:b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283"/>
        <w:jc w:val="center"/>
        <w:spacing w:before="0" w:beforeAutospacing="0" w:after="0" w:afterAutospacing="0" w:line="17" w:lineRule="atLeast"/>
        <w:widowControl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sz w:val="20"/>
          <w:szCs w:val="20"/>
        </w:rPr>
        <w:t xml:space="preserve">                                                                                                    от «</w:t>
      </w:r>
      <w:r>
        <w:rPr>
          <w:rFonts w:ascii="Arial" w:hAnsi="Arial" w:eastAsia="Arial" w:cs="Arial"/>
          <w:b/>
          <w:sz w:val="20"/>
          <w:szCs w:val="20"/>
        </w:rPr>
        <w:t xml:space="preserve"> </w:t>
      </w:r>
      <w:r>
        <w:rPr>
          <w:rFonts w:ascii="Arial" w:hAnsi="Arial" w:eastAsia="Arial" w:cs="Arial"/>
          <w:b/>
          <w:sz w:val="20"/>
          <w:szCs w:val="20"/>
        </w:rPr>
        <w:t xml:space="preserve"> </w:t>
      </w:r>
      <w:r>
        <w:rPr>
          <w:rFonts w:ascii="Arial" w:hAnsi="Arial" w:eastAsia="Arial" w:cs="Arial"/>
          <w:b/>
          <w:sz w:val="20"/>
          <w:szCs w:val="20"/>
          <w:u w:val="single"/>
        </w:rPr>
        <w:t xml:space="preserve">26</w:t>
      </w:r>
      <w:r>
        <w:rPr>
          <w:rFonts w:ascii="Arial" w:hAnsi="Arial" w:eastAsia="Arial" w:cs="Arial"/>
          <w:b/>
          <w:sz w:val="20"/>
          <w:szCs w:val="20"/>
        </w:rPr>
        <w:t xml:space="preserve"> </w:t>
      </w:r>
      <w:r>
        <w:rPr>
          <w:rFonts w:ascii="Arial" w:hAnsi="Arial" w:eastAsia="Arial" w:cs="Arial"/>
          <w:b/>
          <w:sz w:val="20"/>
          <w:szCs w:val="20"/>
        </w:rPr>
        <w:t xml:space="preserve"> » </w:t>
      </w:r>
      <w:r>
        <w:rPr>
          <w:rFonts w:ascii="Arial" w:hAnsi="Arial" w:eastAsia="Arial" w:cs="Arial"/>
          <w:b/>
          <w:sz w:val="20"/>
          <w:szCs w:val="20"/>
          <w:u w:val="single"/>
        </w:rPr>
        <w:t xml:space="preserve">июня</w:t>
      </w:r>
      <w:r>
        <w:rPr>
          <w:rFonts w:ascii="Arial" w:hAnsi="Arial" w:eastAsia="Arial" w:cs="Arial"/>
          <w:b/>
          <w:sz w:val="20"/>
          <w:szCs w:val="20"/>
        </w:rPr>
        <w:t xml:space="preserve"> </w:t>
      </w:r>
      <w:r>
        <w:rPr>
          <w:rFonts w:ascii="Arial" w:hAnsi="Arial" w:eastAsia="Arial" w:cs="Arial"/>
          <w:b/>
          <w:sz w:val="20"/>
          <w:szCs w:val="20"/>
        </w:rPr>
        <w:t xml:space="preserve"> 2025 г. №</w:t>
      </w:r>
      <w:r>
        <w:rPr>
          <w:rFonts w:ascii="Arial" w:hAnsi="Arial" w:eastAsia="Arial" w:cs="Arial"/>
          <w:b/>
          <w:sz w:val="20"/>
          <w:szCs w:val="20"/>
        </w:rPr>
        <w:t xml:space="preserve">  </w:t>
      </w:r>
      <w:r>
        <w:rPr>
          <w:rFonts w:ascii="Arial" w:hAnsi="Arial" w:eastAsia="Arial" w:cs="Arial"/>
          <w:b/>
          <w:sz w:val="20"/>
          <w:szCs w:val="20"/>
          <w:u w:val="single"/>
        </w:rPr>
        <w:t xml:space="preserve">692-па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_668"/>
        <w:jc w:val="both"/>
        <w:spacing w:before="0" w:beforeAutospacing="0" w:after="0" w:afterAutospacing="0" w:line="288" w:lineRule="atLeast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_668"/>
        <w:jc w:val="both"/>
        <w:spacing w:before="0" w:beforeAutospacing="0" w:after="0" w:afterAutospacing="0" w:line="288" w:lineRule="atLeast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_668"/>
        <w:jc w:val="both"/>
        <w:spacing w:before="0" w:beforeAutospacing="0" w:after="0" w:afterAutospacing="0" w:line="288" w:lineRule="atLeast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firstLine="709"/>
        <w:jc w:val="center"/>
        <w:spacing w:line="228" w:lineRule="auto"/>
        <w:rPr>
          <w:rFonts w:ascii="Arial" w:hAnsi="Arial" w:cs="Arial"/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b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  <w:t xml:space="preserve">Муниципальная программа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 городского округа Белгородской области «Развитие экономического потенциала и формирование благоприятного предпринимательского климата в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 городском округе Белгородской области»</w:t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</w:p>
    <w:p>
      <w:pPr>
        <w:ind w:firstLine="709"/>
        <w:jc w:val="center"/>
        <w:spacing w:line="228" w:lineRule="auto"/>
        <w:rPr>
          <w:rFonts w:ascii="Arial" w:hAnsi="Arial" w:cs="Arial"/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</w:p>
    <w:p>
      <w:pPr>
        <w:ind w:firstLine="709"/>
        <w:jc w:val="center"/>
        <w:spacing w:line="228" w:lineRule="auto"/>
        <w:rPr>
          <w:rFonts w:ascii="Arial" w:hAnsi="Arial" w:cs="Arial"/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  <w:t xml:space="preserve">I. Приоритеты и цели муниципальной политики в сфере реализации муниципальной программы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 городского округа Белгородской области «Развитие экономического потенциала и формирование благоприятного предпринимательского климата в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 городском округе Белгородской области»</w:t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</w:p>
    <w:p>
      <w:pPr>
        <w:ind w:firstLine="709"/>
        <w:jc w:val="center"/>
        <w:spacing w:line="228" w:lineRule="auto"/>
        <w:rPr>
          <w:rFonts w:ascii="Arial" w:hAnsi="Arial" w:cs="Arial"/>
          <w:b/>
          <w:bCs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color w:val="000000"/>
          <w:sz w:val="20"/>
          <w:szCs w:val="20"/>
          <w:highlight w:val="white"/>
        </w:rPr>
      </w:r>
    </w:p>
    <w:p>
      <w:pPr>
        <w:pStyle w:val="1_670"/>
        <w:ind w:firstLine="709"/>
        <w:jc w:val="center"/>
        <w:spacing w:before="0" w:after="0"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1.1. Оценка текущего состояния социально-экономического развития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 городского округа Белгородской области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spacing w:line="228" w:lineRule="auto"/>
        <w:rPr>
          <w:rFonts w:ascii="Arial" w:hAnsi="Arial" w:cs="Arial"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Губкинский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городской округ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Белгородской области</w:t>
      </w:r>
      <w:r>
        <w:rPr>
          <w:rFonts w:ascii="Arial" w:hAnsi="Arial" w:eastAsia="Arial" w:cs="Arial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является территорией опережающего развития и имеет существенную особенность –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монопрофильную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экономику.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Социально-экономическое положение городского округа напрямую зависит от результатов деятельности градообразующего предприятия горно-металлургического комплекса – АО «Лебединский ГОК» и предприятий, связанных с ним технологическими процессами.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i/>
          <w:color w:val="ff0000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2023 году объем отгруженных товаров собственного производства, выполненных работ и услуг собственными силами по промышленным видам деятельности составил 212,9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млрд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рублей, (96,1% к уровню 2022), в том числе по видам экономической деятельности «добыча полезных ископаемых» -  95,7 млрд руб. (100,4% к уровню 2022 года), «обрабатывающие производства» - 115,0 млрд руб. (95,8%).  </w:t>
      </w:r>
      <w:r>
        <w:rPr>
          <w:rFonts w:ascii="Arial" w:hAnsi="Arial" w:eastAsia="Arial" w:cs="Arial"/>
          <w:i/>
          <w:color w:val="ff0000"/>
          <w:sz w:val="20"/>
          <w:szCs w:val="20"/>
          <w:highlight w:val="white"/>
        </w:rPr>
      </w:r>
      <w:r>
        <w:rPr>
          <w:rFonts w:ascii="Arial" w:hAnsi="Arial" w:eastAsia="Arial" w:cs="Arial"/>
          <w:i/>
          <w:color w:val="ff0000"/>
          <w:sz w:val="20"/>
          <w:szCs w:val="20"/>
          <w:highlight w:val="white"/>
        </w:rPr>
      </w:r>
    </w:p>
    <w:p>
      <w:pPr>
        <w:pStyle w:val="1_671"/>
        <w:rPr>
          <w:rFonts w:ascii="Arial" w:hAnsi="Arial" w:cs="Arial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2023 году индекс физического объема оборота розничной торговли на уровне 101,9%, оборота общественного питания – 101,7%.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ab/>
        <w:t xml:space="preserve">В 2023 году освоено 27,5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млрд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рублей инвестиций в основной капитал или 95,7% к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уровню 2022 года в сопоставимых ценах. Снижение индекса физического объема инвестиций в основной капитал связано с эффектом высокой базы прошлого года, а также с переходом в стадию завершения отдельных крупных инвестиционных проектов и приостановкой новых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инвестпроектов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в промышленности.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2023 году на АО «Лебединский ГОК» в рамках реализации проекта по созданию нового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хвостохранилища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в балке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Дубенка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введен в эксплуатацию первый объект нового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хвостохранилища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– высокотехнологичный аппарат, необходимый для сгущения пульпы, удаления из нее мелких частиц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раздробленных руд и осветления технологической воды.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рамках проекта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по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реконструкция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обжиговых машин № 1-3 ведется</w:t>
      </w:r>
      <w:r>
        <w:rPr>
          <w:rFonts w:ascii="Arial" w:hAnsi="Arial" w:eastAsia="Arial" w:cs="Arial"/>
          <w:color w:val="000000"/>
          <w:sz w:val="20"/>
          <w:szCs w:val="20"/>
          <w:highlight w:val="white"/>
          <w:shd w:val="clear" w:color="auto" w:fill="ffffff"/>
        </w:rPr>
        <w:t xml:space="preserve"> строительство электрофильтров на первой и третьей обжиговых машинах.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2023 году на АО «Комбинат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КМАруда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» начались пуско-наладочные работы оборудования новой шахты.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На территории опережающего развития «Губкин» зарегистрировано 33 резидента. Инвестиционный портфель напол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нен проектами в общей сумме инвестиций около 8 млрд. рублей. В результате реализации проектов будет создано 1722 новых рабочих места. Фактически резидентами созданы 1193 постоянных рабочих места и освоено инвестиций на 5,3 млрд. рублей.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  <w:shd w:val="clear" w:color="auto" w:fill="ffffff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2023 году оборот розничной торговли составил  </w:t>
      </w:r>
      <w:r>
        <w:rPr>
          <w:rFonts w:ascii="Arial" w:hAnsi="Arial" w:eastAsia="Arial" w:cs="Arial"/>
          <w:sz w:val="20"/>
          <w:szCs w:val="20"/>
          <w:highlight w:val="white"/>
        </w:rPr>
        <w:br/>
        <w:t xml:space="preserve">31,5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млрд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рублей, что составило в сопоставимых ценах к 2022 году 101,7%. Оборот общественного питания составил 0,8 млрд рублей, объем платных услуг населению - 4,8 млрд рублей</w:t>
      </w:r>
      <w:r>
        <w:rPr>
          <w:rFonts w:ascii="Arial" w:hAnsi="Arial" w:eastAsia="Arial" w:cs="Arial"/>
          <w:sz w:val="20"/>
          <w:szCs w:val="20"/>
          <w:highlight w:val="white"/>
          <w:shd w:val="clear" w:color="auto" w:fill="ffffff"/>
        </w:rPr>
        <w:t xml:space="preserve">.</w:t>
      </w:r>
      <w:r>
        <w:rPr>
          <w:rFonts w:ascii="Arial" w:hAnsi="Arial" w:eastAsia="Arial" w:cs="Arial"/>
          <w:sz w:val="20"/>
          <w:szCs w:val="20"/>
          <w:highlight w:val="white"/>
          <w:shd w:val="clear" w:color="auto" w:fill="ffffff"/>
        </w:rPr>
      </w:r>
      <w:r>
        <w:rPr>
          <w:rFonts w:ascii="Arial" w:hAnsi="Arial" w:eastAsia="Arial" w:cs="Arial"/>
          <w:sz w:val="20"/>
          <w:szCs w:val="20"/>
          <w:highlight w:val="white"/>
          <w:shd w:val="clear" w:color="auto" w:fill="ffffff"/>
        </w:rPr>
      </w:r>
    </w:p>
    <w:p>
      <w:pPr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ab/>
        <w:t xml:space="preserve">Администрацией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постоянно наряду с другими вопросами местного значения большое внимание у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деляется содействию развития малого и среднего предпринимательства, что способствует повышению уровня занятости экономически активного населения, насыщению потребительского рынка товарами и услугами, повышению налоговых поступлений в бюджеты всех уровней.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По состоянию на 10 января 2024 года на территории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осуществляли деятельность 2663 субъекта малого и среднего предпринимательства, из них 2139 индивидуальных предпринимателей 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524 юридических лица.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сфере малого и среднего предпринимательства высокой является доля организаций оптовой и розничной торговли. Приоритетным направлением для городского округа является развитие малого и среднего предпринимательства (далее - МСП) производст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венных видов деятельности. Одновременно с этим требуют развития сферы оказания услуг социальной направленности, создание и развитие объектов в сфере туризма, инновационных предприятий, осуществляющих свою деятельность в сфере IT-технологий и других сферах.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Среднесписочная численность работающих в малом и среднем бизнесе по состоянию на 01.01.2024 составила 12 266 человек. Доля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занятых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в малом и среднем бизнесе, включая ИП, в общей численности занятых составила 28,5%.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Оборот малых и средних предприятий за 2023 год составил 24,136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млрд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рублей.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</w:rPr>
        <w:t xml:space="preserve">Поддержка субъектов малого и среднего предпринимательства, в соответствии со статьей 16 Федерального закона от 24 июля 2007 года № 209-ФЗ «О развитии малого и среднего предпринимательства в Российской Федерации», включает в себя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финансо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вую, имущественную, информационную, консультационную, образовательную поддержку, а также поддержку в области инноваций и промышленного производства, поддержку субъектов малого и среднего предпринимательства, осуществляющих внешнеэкономическую деятельность.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8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На постоянной основе в администрации городского округа осуществляется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консультационно-разъяснительная работа, охватывающая широкий спектр вопрос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ов, возникающих у малого и среднего бизнеса. По состоянию на 01.01.2024 консультационная помощь по вопросам организации, поддержки и развития предпринимательской деятельности субъектам малого и среднего предпринимательства оказана в количестве 341 единицы.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1"/>
        <w:ind w:firstLine="708"/>
        <w:jc w:val="both"/>
        <w:spacing w:line="228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Уровень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имущественно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1"/>
        <w:ind w:firstLine="708"/>
        <w:jc w:val="both"/>
        <w:spacing w:line="228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Повышение эффективности управления и распоряжения собственностью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Белгородской области</w:t>
      </w:r>
      <w:r>
        <w:rPr>
          <w:rFonts w:ascii="Arial" w:hAnsi="Arial" w:eastAsia="Arial" w:cs="Arial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является важной стратегической целью проведения муниципальной политики в сфере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имущественно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-земельных отношений для обеспечения                               устойчивого социально-экономического развития территории. В условиях недостаточной налоговой базы бюджета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Белгородской области</w:t>
      </w:r>
      <w:r>
        <w:rPr>
          <w:rFonts w:ascii="Arial" w:hAnsi="Arial" w:eastAsia="Arial" w:cs="Arial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муниципальная собственность стала играть все возрастающую роль в финансовом обеспечении деятельности органов местного самоуправления.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8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Улучшению условий и охраны труда, сохранению здоровья работающего населения на территории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уделяется большое внимание. Неблагоприятные условия труда, производственный травматизм приводят к серьезным экономическим потерям, отрицательно влияют на состояние рынка труда, способствуют ухудшению демографической ситуации.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8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общей структуре причин несчастных случаев на производстве более 70 процентов вызваны типичными причинами организационного характера: нарушения требований безопасности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, неудовлетворительная организация производства работ, недостатки в обучении работников безопасности труда, нарушения трудовой дисциплины. По-прежнему велика доля морально и физически устаревшего оборудования, не соответствующего требованиям безопасности.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Цели, задачи, мероприятия и показатели реализации муниципальной программы соответствуют стратегическим направлениям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Стратегии                       социально-экономического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                            до 2025 года (первое стратегическое направление - «Развитие человеческого капитала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округа», второе стратегическое                    направление - «Развитие экономического потенциала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округа»).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8"/>
        <w:jc w:val="both"/>
        <w:tabs>
          <w:tab w:val="left" w:pos="567" w:leader="none"/>
        </w:tabs>
        <w:rPr>
          <w:rFonts w:ascii="Arial" w:hAnsi="Arial" w:cs="Arial"/>
          <w:bCs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Реализация структурных элементов муниципальной программы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позволит обеспечить достижение цели и решение поставленных задач за счет концентрации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и координации финансовых, имущественных и организационных ресурсов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, увязки сроков реализации мероприятий и объемов их финансирования с ожидаемыми результатами, а также будет являться важным инструментом увеличения экономического потенциала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округа Белгородской области.</w:t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1_670"/>
        <w:ind w:firstLine="709"/>
        <w:jc w:val="center"/>
        <w:spacing w:before="0" w:after="0"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1.2. Описание приоритетов и целей муниципальной политики  в сфере реализации муниципальной программы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spacing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spacing w:line="228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В целях достижения стратегических приоритетов муниципальной политики социально-экономического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Белгородской области, определенных Стратегией социально-экономического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 до 2025 года, разработана структура  и система показателей муниципальной программы: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Цель 1. </w:t>
      </w:r>
      <w:r>
        <w:rPr>
          <w:rFonts w:ascii="Arial" w:hAnsi="Arial" w:eastAsia="Arial" w:cs="Arial"/>
          <w:sz w:val="20"/>
          <w:szCs w:val="20"/>
        </w:rPr>
        <w:t xml:space="preserve">Создание </w:t>
      </w:r>
      <w:r>
        <w:rPr>
          <w:rFonts w:ascii="Arial" w:hAnsi="Arial" w:eastAsia="Arial" w:cs="Arial"/>
          <w:sz w:val="20"/>
          <w:szCs w:val="20"/>
        </w:rPr>
        <w:t xml:space="preserve">условий для формирования культуры безопасного  труда и повышение эффективности мер, направленных на сохранение   жизни и здоровья работников в процессе трудовой деятельности  в </w:t>
      </w:r>
      <w:r>
        <w:rPr>
          <w:rFonts w:ascii="Arial" w:hAnsi="Arial" w:eastAsia="Arial" w:cs="Arial"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sz w:val="20"/>
          <w:szCs w:val="20"/>
        </w:rPr>
        <w:t xml:space="preserve"> городском округе Белгородской области.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Для достижения указанной цели в структуру муниципальной программы включено направление - «Улучшение условий и охран</w:t>
      </w:r>
      <w:r>
        <w:rPr>
          <w:rFonts w:ascii="Arial" w:hAnsi="Arial" w:eastAsia="Arial" w:cs="Arial"/>
          <w:sz w:val="20"/>
          <w:szCs w:val="20"/>
        </w:rPr>
        <w:t xml:space="preserve">а</w:t>
      </w:r>
      <w:r>
        <w:rPr>
          <w:rFonts w:ascii="Arial" w:hAnsi="Arial" w:eastAsia="Arial" w:cs="Arial"/>
          <w:sz w:val="20"/>
          <w:szCs w:val="20"/>
        </w:rPr>
        <w:t xml:space="preserve"> труда в </w:t>
      </w:r>
      <w:r>
        <w:rPr>
          <w:rFonts w:ascii="Arial" w:hAnsi="Arial" w:eastAsia="Arial" w:cs="Arial"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sz w:val="20"/>
          <w:szCs w:val="20"/>
        </w:rPr>
        <w:t xml:space="preserve"> городском округе Белгородской области»,                               которое предусматривает реализацию комплекса процессных мероприятий «Улучшение условий и охран</w:t>
      </w:r>
      <w:r>
        <w:rPr>
          <w:rFonts w:ascii="Arial" w:hAnsi="Arial" w:eastAsia="Arial" w:cs="Arial"/>
          <w:sz w:val="20"/>
          <w:szCs w:val="20"/>
        </w:rPr>
        <w:t xml:space="preserve">а</w:t>
      </w:r>
      <w:r>
        <w:rPr>
          <w:rFonts w:ascii="Arial" w:hAnsi="Arial" w:eastAsia="Arial" w:cs="Arial"/>
          <w:sz w:val="20"/>
          <w:szCs w:val="20"/>
        </w:rPr>
        <w:t xml:space="preserve"> труда в </w:t>
      </w:r>
      <w:r>
        <w:rPr>
          <w:rFonts w:ascii="Arial" w:hAnsi="Arial" w:eastAsia="Arial" w:cs="Arial"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sz w:val="20"/>
          <w:szCs w:val="20"/>
        </w:rPr>
        <w:t xml:space="preserve">  городском округе Белгородской области».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Цель </w:t>
      </w:r>
      <w:r>
        <w:rPr>
          <w:rFonts w:ascii="Arial" w:hAnsi="Arial" w:eastAsia="Arial" w:cs="Arial"/>
          <w:sz w:val="20"/>
          <w:szCs w:val="20"/>
        </w:rPr>
        <w:t xml:space="preserve">2</w:t>
      </w:r>
      <w:r>
        <w:rPr>
          <w:rFonts w:ascii="Arial" w:hAnsi="Arial" w:eastAsia="Arial" w:cs="Arial"/>
          <w:sz w:val="20"/>
          <w:szCs w:val="20"/>
        </w:rPr>
        <w:t xml:space="preserve">. Повышение эффективности муниципального управления в сфере имущественных и земельных отношений на территории </w:t>
      </w:r>
      <w:r>
        <w:rPr>
          <w:rFonts w:ascii="Arial" w:hAnsi="Arial" w:eastAsia="Arial" w:cs="Arial"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sz w:val="20"/>
          <w:szCs w:val="20"/>
        </w:rPr>
        <w:t xml:space="preserve"> городского округа Белгородской области.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</w:rPr>
        <w:t xml:space="preserve">Для достижения указанной цели в структуру муниципальной программы включено направление - «Управление земельными  ресурсами и имуществом </w:t>
      </w:r>
      <w:r>
        <w:rPr>
          <w:rFonts w:ascii="Arial" w:hAnsi="Arial" w:eastAsia="Arial" w:cs="Arial"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sz w:val="20"/>
          <w:szCs w:val="20"/>
        </w:rPr>
        <w:t xml:space="preserve"> городского округа                                 Белгородской области», которое предусматривает реализацию двух комплексов процессных мероприятий:  «Управление земельными ресурсами и имуществом </w:t>
      </w:r>
      <w:r>
        <w:rPr>
          <w:rFonts w:ascii="Arial" w:hAnsi="Arial" w:eastAsia="Arial" w:cs="Arial"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sz w:val="20"/>
          <w:szCs w:val="20"/>
        </w:rPr>
        <w:t xml:space="preserve"> городского                                                    округа Белгородской области», «Обеспечение реализации муниципальной программы».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</w:rPr>
        <w:t xml:space="preserve">Цель </w:t>
      </w:r>
      <w:r>
        <w:rPr>
          <w:rFonts w:ascii="Arial" w:hAnsi="Arial" w:eastAsia="Arial" w:cs="Arial"/>
          <w:sz w:val="20"/>
          <w:szCs w:val="20"/>
        </w:rPr>
        <w:t xml:space="preserve">3</w:t>
      </w:r>
      <w:r>
        <w:rPr>
          <w:rFonts w:ascii="Arial" w:hAnsi="Arial" w:eastAsia="Arial" w:cs="Arial"/>
          <w:sz w:val="20"/>
          <w:szCs w:val="20"/>
        </w:rPr>
        <w:t xml:space="preserve">.</w:t>
      </w:r>
      <w:r>
        <w:rPr>
          <w:rFonts w:ascii="Arial" w:hAnsi="Arial" w:eastAsia="Arial" w:cs="Arial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Формирование благоприятных условий для привлечения инвестиций в экономику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Белгородской области и повышение инвестиционной активности  бизнеса.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Для достижения указанной цели в структуру муниципальной программы включено направление - «Улучшение инвестиционного климата в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городском округе Б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елгородской области»,                            которое предусматривает реализацию комплекса процессных мероприятий «Реализация мероприятий по привлечению инвестиций и работе с инвесторами в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городском округе Белгородской                 области».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Цель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4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. Создание благоприятных условий для устойчивого развития малого и среднего предпринимательства в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городском округе Белгородской области.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Для достижения указанной цели в структуру муниципальной программы включено направление - «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Развитие и поддержка малого 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среднего предпринимательства в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городском округе                       Белгородской области», которое предусматривает реализацию комплекса процессных мероприятий «Элементы устойчивого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малого и среднего предпринимательства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в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городском округе Белгородской области».</w:t>
      </w:r>
      <w:r>
        <w:rPr>
          <w:rFonts w:ascii="Arial" w:hAnsi="Arial" w:eastAsia="Arial" w:cs="Arial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6"/>
          <w:szCs w:val="26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1_670"/>
        <w:ind w:firstLine="709"/>
        <w:jc w:val="center"/>
        <w:spacing w:before="0" w:after="0"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1.3. Сведения о взаимосвязи с национальными целями, со стратегическими приоритетами, целями и показателями государственных программ Белгородской области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pStyle w:val="1_670"/>
        <w:ind w:firstLine="709"/>
        <w:jc w:val="both"/>
        <w:spacing w:before="0" w:after="0"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color w:val="000000"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Приоритеты, цели и показатели муниципальной программы «Развитие экономического потенциала и формирование благоприятного предпринимательского климата в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 городском округе Белгородской области» сформированы с учетом государственной прогр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аммы Белгородской области 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 от 25.12.2023 № 750-пп.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right="-26" w:firstLine="709"/>
        <w:jc w:val="both"/>
        <w:tabs>
          <w:tab w:val="left" w:pos="12189" w:leader="none"/>
        </w:tabs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Достижение намеченных целей муниципальной программы определяет следующие целевые показатели: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31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тысячу работающих</w:t>
      </w:r>
      <w:r>
        <w:rPr>
          <w:rFonts w:ascii="Arial" w:hAnsi="Arial" w:eastAsia="Arial" w:cs="Arial"/>
          <w:sz w:val="20"/>
          <w:szCs w:val="20"/>
        </w:rPr>
        <w:t xml:space="preserve">;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31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31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год;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31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темп роста объема инвестиций субъектов МСП в основной капитал;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31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оборот субъектов МСП;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31"/>
        <w:numPr>
          <w:ilvl w:val="0"/>
          <w:numId w:val="3"/>
        </w:numPr>
        <w:ind w:left="0" w:firstLine="709"/>
        <w:jc w:val="both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численность занятых в сфере малого и среднего предпринимательства, включая индивидуальных предпринимателей 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самозанятых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Методика расчета целевых показателей приведена в приложении к муниципальной программе.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1_670"/>
        <w:ind w:firstLine="709"/>
        <w:jc w:val="both"/>
        <w:spacing w:before="0" w:after="0"/>
        <w:rPr>
          <w:rFonts w:ascii="Arial" w:hAnsi="Arial" w:cs="Arial"/>
          <w:b w:val="0"/>
          <w:bCs w:val="0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b w:val="0"/>
          <w:bCs w:val="0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 w:val="0"/>
          <w:bCs w:val="0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b w:val="0"/>
          <w:bCs w:val="0"/>
          <w:color w:val="000000"/>
          <w:sz w:val="20"/>
          <w:szCs w:val="20"/>
          <w:highlight w:val="white"/>
        </w:rPr>
      </w:r>
    </w:p>
    <w:p>
      <w:pPr>
        <w:pStyle w:val="1_670"/>
        <w:ind w:firstLine="709"/>
        <w:jc w:val="center"/>
        <w:spacing w:before="0" w:after="0" w:line="228" w:lineRule="auto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1.4. Задачи муниципального управления, способы их эффективного решения в сфере реализации муниципальной программы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К стратегическим задачам развития экономического потенциала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Белгородской области в соответствии со  Стратегией социально-экономического развития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 до 2025 года относятся: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31"/>
        <w:numPr>
          <w:ilvl w:val="0"/>
          <w:numId w:val="4"/>
        </w:numPr>
        <w:ind w:left="0" w:firstLine="709"/>
        <w:jc w:val="both"/>
        <w:spacing w:line="240" w:lineRule="auto"/>
        <w:rPr>
          <w:rFonts w:ascii="Arial" w:hAnsi="Arial" w:cs="Arial"/>
          <w:iCs/>
          <w:sz w:val="28"/>
          <w:szCs w:val="28"/>
          <w:highlight w:val="white"/>
        </w:rPr>
      </w:pPr>
      <w:r>
        <w:rPr>
          <w:rFonts w:ascii="Arial" w:hAnsi="Arial" w:eastAsia="Arial" w:cs="Arial"/>
          <w:iCs/>
          <w:sz w:val="20"/>
          <w:szCs w:val="20"/>
        </w:rPr>
        <w:t xml:space="preserve">реализация мероприятий по снижению уровня смертности, охране здоровья и увеличению продолжительности жизни населения</w:t>
      </w:r>
      <w:r>
        <w:rPr>
          <w:rFonts w:ascii="Arial" w:hAnsi="Arial" w:eastAsia="Arial" w:cs="Arial"/>
          <w:iCs/>
          <w:sz w:val="20"/>
          <w:szCs w:val="20"/>
        </w:rPr>
        <w:t xml:space="preserve">;</w:t>
      </w:r>
      <w:r>
        <w:rPr>
          <w:rFonts w:ascii="Arial" w:hAnsi="Arial" w:eastAsia="Arial" w:cs="Arial"/>
          <w:iCs/>
          <w:sz w:val="20"/>
          <w:szCs w:val="20"/>
          <w:highlight w:val="white"/>
        </w:rPr>
      </w:r>
      <w:r>
        <w:rPr>
          <w:rFonts w:ascii="Arial" w:hAnsi="Arial" w:eastAsia="Arial" w:cs="Arial"/>
          <w:iCs/>
          <w:sz w:val="20"/>
          <w:szCs w:val="20"/>
          <w:highlight w:val="white"/>
        </w:rPr>
      </w:r>
    </w:p>
    <w:p>
      <w:pPr>
        <w:pStyle w:val="31"/>
        <w:numPr>
          <w:ilvl w:val="0"/>
          <w:numId w:val="4"/>
        </w:numPr>
        <w:ind w:left="0" w:firstLine="709"/>
        <w:jc w:val="both"/>
        <w:rPr>
          <w:rFonts w:ascii="Arial" w:hAnsi="Arial" w:cs="Arial"/>
          <w:iCs/>
          <w:sz w:val="28"/>
          <w:szCs w:val="28"/>
        </w:rPr>
      </w:pPr>
      <w:r>
        <w:rPr>
          <w:rFonts w:ascii="Arial" w:hAnsi="Arial" w:eastAsia="Arial" w:cs="Arial"/>
          <w:iCs/>
          <w:sz w:val="20"/>
          <w:szCs w:val="20"/>
        </w:rPr>
        <w:t xml:space="preserve">повышение эффективности функционирования и развития </w:t>
      </w:r>
      <w:r>
        <w:rPr>
          <w:rFonts w:ascii="Arial" w:hAnsi="Arial" w:eastAsia="Arial" w:cs="Arial"/>
          <w:iCs/>
          <w:sz w:val="20"/>
          <w:szCs w:val="20"/>
        </w:rPr>
        <w:t xml:space="preserve">имущественно</w:t>
      </w:r>
      <w:r>
        <w:rPr>
          <w:rFonts w:ascii="Arial" w:hAnsi="Arial" w:eastAsia="Arial" w:cs="Arial"/>
          <w:iCs/>
          <w:sz w:val="20"/>
          <w:szCs w:val="20"/>
        </w:rPr>
        <w:t xml:space="preserve">-земельного комплекса </w:t>
      </w:r>
      <w:r>
        <w:rPr>
          <w:rFonts w:ascii="Arial" w:hAnsi="Arial" w:eastAsia="Arial" w:cs="Arial"/>
          <w:iCs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iCs/>
          <w:sz w:val="20"/>
          <w:szCs w:val="20"/>
        </w:rPr>
        <w:t xml:space="preserve"> городского округа Белгородской области;</w:t>
      </w:r>
      <w:r>
        <w:rPr>
          <w:rFonts w:ascii="Arial" w:hAnsi="Arial" w:eastAsia="Arial" w:cs="Arial"/>
          <w:iCs/>
          <w:sz w:val="20"/>
          <w:szCs w:val="20"/>
        </w:rPr>
      </w:r>
      <w:r>
        <w:rPr>
          <w:rFonts w:ascii="Arial" w:hAnsi="Arial" w:eastAsia="Arial" w:cs="Arial"/>
          <w:iCs/>
          <w:sz w:val="20"/>
          <w:szCs w:val="20"/>
        </w:rPr>
      </w:r>
    </w:p>
    <w:p>
      <w:pPr>
        <w:pStyle w:val="31"/>
        <w:numPr>
          <w:ilvl w:val="0"/>
          <w:numId w:val="4"/>
        </w:numPr>
        <w:ind w:left="0" w:firstLine="709"/>
        <w:jc w:val="both"/>
        <w:spacing w:line="240" w:lineRule="auto"/>
        <w:rPr>
          <w:rFonts w:ascii="Arial" w:hAnsi="Arial" w:cs="Arial"/>
          <w:iCs/>
          <w:sz w:val="28"/>
          <w:szCs w:val="28"/>
          <w:highlight w:val="white"/>
        </w:rPr>
      </w:pPr>
      <w:r>
        <w:rPr>
          <w:rFonts w:ascii="Arial" w:hAnsi="Arial" w:eastAsia="Arial" w:cs="Arial"/>
          <w:bCs/>
          <w:iCs/>
          <w:sz w:val="20"/>
          <w:szCs w:val="20"/>
          <w:highlight w:val="white"/>
        </w:rPr>
        <w:t xml:space="preserve">создание благоприятного инвестиционного климата для развития экономики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городского </w:t>
      </w:r>
      <w:r>
        <w:rPr>
          <w:rFonts w:ascii="Arial" w:hAnsi="Arial" w:eastAsia="Arial" w:cs="Arial"/>
          <w:bCs/>
          <w:iCs/>
          <w:sz w:val="20"/>
          <w:szCs w:val="20"/>
          <w:highlight w:val="white"/>
        </w:rPr>
        <w:t xml:space="preserve">округа;</w:t>
      </w:r>
      <w:r>
        <w:rPr>
          <w:rFonts w:ascii="Arial" w:hAnsi="Arial" w:eastAsia="Arial" w:cs="Arial"/>
          <w:iCs/>
          <w:sz w:val="20"/>
          <w:szCs w:val="20"/>
          <w:highlight w:val="white"/>
        </w:rPr>
      </w:r>
      <w:r>
        <w:rPr>
          <w:rFonts w:ascii="Arial" w:hAnsi="Arial" w:eastAsia="Arial" w:cs="Arial"/>
          <w:iCs/>
          <w:sz w:val="20"/>
          <w:szCs w:val="20"/>
          <w:highlight w:val="white"/>
        </w:rPr>
      </w:r>
    </w:p>
    <w:p>
      <w:pPr>
        <w:pStyle w:val="31"/>
        <w:numPr>
          <w:ilvl w:val="0"/>
          <w:numId w:val="5"/>
        </w:numPr>
        <w:ind w:left="0" w:firstLine="709"/>
        <w:jc w:val="both"/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bCs/>
          <w:iCs/>
          <w:sz w:val="20"/>
          <w:szCs w:val="20"/>
          <w:highlight w:val="white"/>
        </w:rPr>
        <w:t xml:space="preserve">создание благоприятных условий для устойчивого развития малого и среднего предпринимательства </w:t>
      </w:r>
      <w:r>
        <w:rPr>
          <w:rFonts w:ascii="Arial" w:hAnsi="Arial" w:eastAsia="Arial" w:cs="Arial"/>
          <w:bCs/>
          <w:iCs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bCs/>
          <w:iCs/>
          <w:sz w:val="20"/>
          <w:szCs w:val="20"/>
          <w:highlight w:val="white"/>
        </w:rPr>
        <w:t xml:space="preserve"> городского округа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Исходя из обозначенных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стратегических задач муниципальной программой предусмотрено решение следующих ключевых задач: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1. </w:t>
      </w:r>
      <w:r>
        <w:rPr>
          <w:rFonts w:ascii="Arial" w:hAnsi="Arial" w:eastAsia="Arial" w:cs="Arial"/>
          <w:sz w:val="20"/>
          <w:szCs w:val="20"/>
        </w:rPr>
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</w:r>
      <w:r>
        <w:rPr>
          <w:rFonts w:ascii="Arial" w:hAnsi="Arial" w:eastAsia="Arial" w:cs="Arial"/>
          <w:sz w:val="20"/>
          <w:szCs w:val="20"/>
        </w:rPr>
        <w:t xml:space="preserve">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2</w:t>
      </w:r>
      <w:r>
        <w:rPr>
          <w:rFonts w:ascii="Arial" w:hAnsi="Arial" w:eastAsia="Arial" w:cs="Arial"/>
          <w:sz w:val="20"/>
          <w:szCs w:val="20"/>
        </w:rPr>
        <w:t xml:space="preserve">. Развитие инфраструктуры объектов муниципальной собственности.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eastAsia="Arial" w:cs="Arial"/>
          <w:sz w:val="20"/>
          <w:szCs w:val="20"/>
        </w:rPr>
        <w:t xml:space="preserve">3</w:t>
      </w:r>
      <w:r>
        <w:rPr>
          <w:rFonts w:ascii="Arial" w:hAnsi="Arial" w:eastAsia="Arial" w:cs="Arial"/>
          <w:sz w:val="20"/>
          <w:szCs w:val="20"/>
        </w:rPr>
        <w:t xml:space="preserve">. Исполнение муниципальных функций (оказание муниципальных услуг) исполнительными органами </w:t>
      </w:r>
      <w:r>
        <w:rPr>
          <w:rFonts w:ascii="Arial" w:hAnsi="Arial" w:eastAsia="Arial" w:cs="Arial"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sz w:val="20"/>
          <w:szCs w:val="20"/>
        </w:rPr>
        <w:t xml:space="preserve">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собственностью, по кадастровой деятельности, землеустройству и землепользованию.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color w:val="000000" w:themeColor="text1"/>
          <w:sz w:val="20"/>
          <w:szCs w:val="20"/>
          <w:highlight w:val="white"/>
        </w:rPr>
        <w:t xml:space="preserve">4. </w:t>
      </w:r>
      <w:r>
        <w:rPr>
          <w:rFonts w:ascii="Arial" w:hAnsi="Arial" w:eastAsia="Arial" w:cs="Arial"/>
          <w:color w:val="000000" w:themeColor="text1"/>
          <w:sz w:val="20"/>
          <w:szCs w:val="20"/>
          <w:highlight w:val="white"/>
        </w:rPr>
        <w:t xml:space="preserve">Формирование благоприятных условий для привлечения инвестиций в экономику </w:t>
      </w:r>
      <w:r>
        <w:rPr>
          <w:rFonts w:ascii="Arial" w:hAnsi="Arial" w:eastAsia="Arial" w:cs="Arial"/>
          <w:color w:val="000000" w:themeColor="text1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color w:val="000000" w:themeColor="text1"/>
          <w:sz w:val="20"/>
          <w:szCs w:val="20"/>
          <w:highlight w:val="white"/>
        </w:rPr>
        <w:t xml:space="preserve"> городского округа Белгородской области.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5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. Популяризация предпринимательской деятельности</w:t>
      </w:r>
      <w:r>
        <w:rPr>
          <w:rFonts w:ascii="Arial" w:hAnsi="Arial" w:eastAsia="Arial" w:cs="Arial"/>
          <w:sz w:val="20"/>
          <w:szCs w:val="20"/>
        </w:rPr>
        <w:t xml:space="preserve">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right="110" w:firstLine="709"/>
        <w:jc w:val="both"/>
        <w:spacing w:line="259" w:lineRule="auto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eastAsia="Arial" w:cs="Arial"/>
          <w:sz w:val="20"/>
          <w:szCs w:val="20"/>
        </w:rPr>
        <w:t xml:space="preserve">6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. Создание условий для вовлечения граждан в предпринимательскую деятельность и комфортного ведения бизнеса.</w:t>
      </w:r>
      <w:r>
        <w:rPr>
          <w:rFonts w:ascii="Arial" w:hAnsi="Arial" w:eastAsia="Arial" w:cs="Arial"/>
          <w:color w:val="ff0000"/>
          <w:sz w:val="20"/>
          <w:szCs w:val="20"/>
        </w:rPr>
      </w:r>
      <w:r>
        <w:rPr>
          <w:rFonts w:ascii="Arial" w:hAnsi="Arial" w:eastAsia="Arial" w:cs="Arial"/>
          <w:color w:val="ff0000"/>
          <w:sz w:val="20"/>
          <w:szCs w:val="20"/>
        </w:rPr>
      </w:r>
    </w:p>
    <w:p>
      <w:pPr>
        <w:ind w:firstLine="709"/>
        <w:jc w:val="both"/>
        <w:spacing w:line="17" w:lineRule="atLeast"/>
        <w:rPr>
          <w:rFonts w:ascii="Arial" w:hAnsi="Arial" w:cs="Arial"/>
          <w:b/>
          <w:bCs/>
          <w:sz w:val="28"/>
          <w:szCs w:val="28"/>
          <w:highlight w:val="white"/>
        </w:rPr>
        <w:outlineLvl w:val="0"/>
      </w:pP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В рамках реализации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структурных элементов муниципальной программы </w:t>
      </w:r>
      <w:r>
        <w:rPr>
          <w:rFonts w:ascii="Arial" w:hAnsi="Arial" w:eastAsia="Arial" w:cs="Arial"/>
          <w:color w:val="000000"/>
          <w:sz w:val="20"/>
          <w:szCs w:val="20"/>
        </w:rPr>
        <w:t xml:space="preserve">-                 приложения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1-6, предусмотрен ряд мероприятий, которые будут способствовать развитию экономического и инвестиционного потенциала, формированию благоприятного предпринимательского климата в 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Губкинском</w:t>
      </w:r>
      <w:r>
        <w:rPr>
          <w:rFonts w:ascii="Arial" w:hAnsi="Arial" w:eastAsia="Arial" w:cs="Arial"/>
          <w:color w:val="000000"/>
          <w:sz w:val="20"/>
          <w:szCs w:val="20"/>
          <w:highlight w:val="white"/>
        </w:rPr>
        <w:t xml:space="preserve"> городском округе Белгородской области.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Мероприятия муниципальной программы и подпрограмм, источники и объемы их финансирования подлежат ежегодному уточне</w:t>
      </w:r>
      <w:r>
        <w:rPr>
          <w:rFonts w:ascii="Arial" w:hAnsi="Arial" w:eastAsia="Arial" w:cs="Arial"/>
          <w:sz w:val="20"/>
          <w:szCs w:val="20"/>
        </w:rPr>
        <w:t xml:space="preserve">нию с учетом прогнозируемых объемов финансовых ресурсов, </w:t>
      </w:r>
      <w:r>
        <w:rPr>
          <w:rFonts w:ascii="Arial" w:hAnsi="Arial" w:eastAsia="Arial" w:cs="Arial"/>
          <w:bCs/>
          <w:sz w:val="20"/>
          <w:szCs w:val="20"/>
        </w:rPr>
        <w:t xml:space="preserve">достигнутых результатов в предшествующий период реализации муниципальной программы.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jc w:val="center"/>
        <w:widowControl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eastAsia="Arial" w:cs="Arial"/>
          <w:b/>
          <w:sz w:val="20"/>
          <w:szCs w:val="20"/>
        </w:rPr>
        <w:t xml:space="preserve">                                                               </w:t>
      </w:r>
      <w:r>
        <w:rPr>
          <w:rFonts w:ascii="Arial" w:hAnsi="Arial" w:eastAsia="Arial" w:cs="Arial"/>
          <w:b/>
          <w:sz w:val="20"/>
          <w:szCs w:val="20"/>
        </w:rPr>
        <w:t xml:space="preserve">  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  <w:sectPr>
          <w:footnotePr/>
          <w:endnotePr/>
          <w:type w:val="continuous"/>
          <w:pgSz w:w="11909" w:h="16834" w:orient="portrait"/>
          <w:pgMar w:top="1134" w:right="567" w:bottom="1134" w:left="1588" w:header="709" w:footer="709" w:gutter="0"/>
          <w:cols w:num="1" w:sep="0" w:space="60" w:equalWidth="1"/>
          <w:docGrid w:linePitch="360"/>
          <w:titlePg/>
        </w:sect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283"/>
        <w:jc w:val="center"/>
        <w:widowControl/>
        <w:rPr>
          <w:rFonts w:ascii="Arial" w:hAnsi="Arial" w:cs="Arial"/>
          <w:b/>
          <w:sz w:val="22"/>
          <w:szCs w:val="22"/>
        </w:rPr>
      </w:pPr>
      <w:r>
        <w:rPr>
          <w:rFonts w:ascii="Arial" w:hAnsi="Arial" w:eastAsia="Arial" w:cs="Arial"/>
          <w:b/>
          <w:sz w:val="20"/>
          <w:szCs w:val="20"/>
          <w:lang w:eastAsia="en-US"/>
        </w:rPr>
        <w:t xml:space="preserve">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I. Паспорт</w:t>
      </w:r>
      <w:r>
        <w:rPr>
          <w:rFonts w:ascii="Arial" w:hAnsi="Arial" w:eastAsia="Arial" w:cs="Arial"/>
          <w:b/>
          <w:sz w:val="20"/>
          <w:szCs w:val="20"/>
        </w:rPr>
        <w:t xml:space="preserve"> муниципальной программы </w:t>
      </w:r>
      <w:r>
        <w:rPr>
          <w:rFonts w:ascii="Arial" w:hAnsi="Arial" w:eastAsia="Arial" w:cs="Arial"/>
          <w:b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b/>
          <w:sz w:val="20"/>
          <w:szCs w:val="20"/>
        </w:rPr>
        <w:t xml:space="preserve"> городского округа Белгородской области «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Развитие экономического потенциала и формирование благоприятного предпринимательского климата  в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городском округе Белгородской области</w:t>
      </w:r>
      <w:r>
        <w:rPr>
          <w:rFonts w:ascii="Arial" w:hAnsi="Arial" w:eastAsia="Arial" w:cs="Arial"/>
          <w:b/>
          <w:sz w:val="20"/>
          <w:szCs w:val="20"/>
        </w:rPr>
        <w:t xml:space="preserve">»</w:t>
      </w: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(далее – муниципальная программа)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  <w:t xml:space="preserve">1. Основные положения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5094" w:type="pct"/>
        <w:tblInd w:w="-5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9051"/>
        <w:gridCol w:w="3139"/>
      </w:tblGrid>
      <w:tr>
        <w:tblPrEx/>
        <w:trPr>
          <w:cantSplit/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2"/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Куратор муниципальной программы 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Заместитель главы администрации по инвестиционной политике и экономическому развитию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2"/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Arial" w:hAnsi="Arial" w:eastAsia="Arial" w:cs="Arial"/>
                <w:sz w:val="20"/>
                <w:szCs w:val="20"/>
              </w:rPr>
              <w:br/>
              <w:t xml:space="preserve">муниципальной программы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keepLines/>
              <w:spacing w:before="120" w:after="120"/>
              <w:tabs>
                <w:tab w:val="left" w:pos="12189" w:leader="none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2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Период реализации муниципальной программы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spacing w:before="120" w:after="120"/>
              <w:tabs>
                <w:tab w:val="left" w:pos="12189" w:leader="none"/>
              </w:tabs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2025-2030 </w:t>
            </w:r>
            <w:r>
              <w:rPr>
                <w:rFonts w:ascii="Arial" w:hAnsi="Arial" w:eastAsia="Arial" w:cs="Arial"/>
                <w:strike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strike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2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Цели муниципальной программы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Цель 1.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Создание условий для формирования культуры безопасного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труда и повышение эффективности мер, направленных на сохранение жизни и здоровья работников в  процессе трудовой  деятельности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Цель 2.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Цель 3.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 и повышение инвестиционной активности бизнеса.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Цель 4.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ком округе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2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Направления (подпрограммы) муниципальной программы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Направление (подпрограмма) 1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«Улучшение условий и охран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труда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Направление (подпрограмма) 2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«Управление земельными ресурсами и имуществом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области».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Направление (подпрограмма) 3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«Улучшение инвестиционного климата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области».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204" w:firstLine="283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Направление (подпрограмма) 4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«Развитие и поддержка малого и среднего предпринимательства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ом округе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Merge w:val="restart"/>
            <w:textDirection w:val="lrTb"/>
            <w:noWrap w:val="false"/>
          </w:tcPr>
          <w:p>
            <w:pPr>
              <w:ind w:left="283" w:right="0" w:firstLine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Объемы финансового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обеспечения за весь период реализации, в том числе по источникам финансирования: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Всего по муниципальной программе -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161 259,0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тыс. рублей, в том числе: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источник финансового обеспечения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 финансового обеспечения, тыс. рублей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right="204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             161 259,0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4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  <w:highlight w:val="red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0,0</w:t>
            </w:r>
            <w:r>
              <w:rPr>
                <w:rFonts w:ascii="Arial" w:hAnsi="Arial" w:eastAsia="Arial" w:cs="Arial"/>
                <w:sz w:val="20"/>
                <w:szCs w:val="20"/>
                <w:highlight w:val="red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red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jc w:val="center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ind w:left="142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1" w:type="dxa"/>
            <w:textDirection w:val="lrTb"/>
            <w:noWrap w:val="false"/>
          </w:tcPr>
          <w:p>
            <w:pPr>
              <w:ind w:left="314" w:right="204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ind w:right="204"/>
              <w:jc w:val="center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cantSplit/>
          <w:trHeight w:val="15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2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</w:tr>
      <w:tr>
        <w:tblPrEx/>
        <w:trPr>
          <w:cantSplit/>
          <w:trHeight w:val="4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textDirection w:val="lrTb"/>
            <w:noWrap w:val="false"/>
          </w:tcPr>
          <w:p>
            <w:pPr>
              <w:ind w:left="283" w:right="0" w:firstLine="141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Связь с целями развития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 / стратегическими приоритетами (направлениями)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23" w:type="dxa"/>
            <w:textDirection w:val="lrTb"/>
            <w:noWrap w:val="false"/>
          </w:tcPr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Первое стратегическое направление Стратегии социально-экономического развития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                      городского округа до 2025 года «Развитие человеческого капитала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округа», целевой показатель: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1"/>
              </w:numPr>
              <w:ind w:left="1051" w:right="204" w:hanging="425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Общий коэффициент смертности не выше 12,8 человек на 1 тысячу населения.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142" w:right="204" w:firstLine="141"/>
              <w:jc w:val="both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Второе стратегическое направление Стратегии социально-экономического развития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до 2025 года «Развитие экономического потенциала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округа», целевой показатель: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Неналоговые доходы от сдачи в аренду муниципального имущества, зачисляемые в 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не менее 11 000,0 тысяч рублей.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Неналоговые доходы от сдачи в аренду земельных участков, зачисляемые в 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не менее 252 100,0 тысяч рублей.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Инвестиции в основной капитал за счет всех источников финансирования не ниже  13 373,3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млн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ублей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Оборот малых и средних предприятий (юридических лиц) по всем видам экономической деятельности не ниже 22,2 млрд. рублей.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1"/>
              </w:numPr>
              <w:ind w:right="204"/>
              <w:jc w:val="both"/>
              <w:spacing w:after="0" w:line="240" w:lineRule="auto"/>
              <w:tabs>
                <w:tab w:val="left" w:pos="12189" w:leader="none"/>
              </w:tabs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Доля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занятых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 малом и среднем бизнесе в общей численности занятых не ниже 31,1%.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17"/>
        <w:jc w:val="center"/>
        <w:spacing w:after="295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17"/>
        <w:jc w:val="center"/>
        <w:spacing w:after="295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2. Показатели муниципальной программы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15868" w:type="dxa"/>
        <w:tblInd w:w="-392" w:type="dxa"/>
        <w:tblLayout w:type="fixed"/>
        <w:tblCellMar>
          <w:left w:w="5" w:type="dxa"/>
          <w:top w:w="26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85"/>
        <w:gridCol w:w="993"/>
        <w:gridCol w:w="66"/>
        <w:gridCol w:w="921"/>
        <w:gridCol w:w="61"/>
        <w:gridCol w:w="936"/>
        <w:gridCol w:w="48"/>
        <w:gridCol w:w="798"/>
        <w:gridCol w:w="22"/>
        <w:gridCol w:w="820"/>
        <w:gridCol w:w="8"/>
        <w:gridCol w:w="484"/>
        <w:gridCol w:w="83"/>
        <w:gridCol w:w="567"/>
        <w:gridCol w:w="663"/>
        <w:gridCol w:w="47"/>
        <w:gridCol w:w="571"/>
        <w:gridCol w:w="38"/>
        <w:gridCol w:w="656"/>
        <w:gridCol w:w="11"/>
        <w:gridCol w:w="645"/>
        <w:gridCol w:w="63"/>
        <w:gridCol w:w="571"/>
        <w:gridCol w:w="22"/>
        <w:gridCol w:w="1959"/>
        <w:gridCol w:w="1419"/>
        <w:gridCol w:w="1213"/>
        <w:gridCol w:w="65"/>
        <w:gridCol w:w="1551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restart"/>
            <w:textDirection w:val="lrTb"/>
            <w:noWrap w:val="false"/>
          </w:tcPr>
          <w:p>
            <w:pPr>
              <w:ind w:left="5" w:right="0" w:hanging="5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ind w:left="5" w:right="0" w:hanging="5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Наимено-вание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restart"/>
            <w:textDirection w:val="lrTb"/>
            <w:noWrap w:val="false"/>
          </w:tcPr>
          <w:p>
            <w:pPr>
              <w:ind w:right="3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7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restart"/>
            <w:textDirection w:val="lrTb"/>
            <w:noWrap w:val="false"/>
          </w:tcPr>
          <w:p>
            <w:pPr>
              <w:ind w:right="24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Признак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180" w:hanging="81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возрас-тания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/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убыва-ния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ind w:left="15"/>
              <w:jc w:val="center"/>
              <w:spacing w:line="25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2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12" w:type="dxa"/>
            <w:textDirection w:val="lrTb"/>
            <w:noWrap w:val="false"/>
          </w:tcPr>
          <w:p>
            <w:pPr>
              <w:ind w:left="55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937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Значения показателя по годам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  <w:t xml:space="preserve">Документ</w:t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  <w:t xml:space="preserve">Ответствен-</w:t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  <w:t xml:space="preserve">ный</w:t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  <w:br/>
              <w:t xml:space="preserve">за достижение показателя</w:t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21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с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показате-лями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националь-ных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целей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1" w:line="25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показателями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государ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1" w:line="25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ственных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программ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Белгородской области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9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left="6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vAlign w:val="center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vAlign w:val="center"/>
            <w:textDirection w:val="lrTb"/>
            <w:noWrap w:val="false"/>
          </w:tcPr>
          <w:p>
            <w:pPr>
              <w:ind w:right="1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left="7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ind w:right="12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vAlign w:val="center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</w:tr>
      <w:tr>
        <w:tblPrEx/>
        <w:trPr>
          <w:trHeight w:val="217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left="5" w:right="0" w:hanging="5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5" w:right="0" w:hanging="5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right="30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right="21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2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right="20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ind w:right="19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ind w:right="14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16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8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right="6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840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142" w:right="204" w:firstLine="141"/>
              <w:jc w:val="center"/>
              <w:tabs>
                <w:tab w:val="left" w:pos="12189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78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ность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постра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-давших в результате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несчас-тных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случаев на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произ-водстве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с утратой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трудос-пособ-ности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         на 1 рабочий день и более и со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смертель-ным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исхо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-дом в рас-чете на 1 тыс.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рабо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-тающих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Регрес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pStyle w:val="621"/>
              <w:contextualSpacing/>
              <w:ind w:left="113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1,107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1,083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1,073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1,069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1,063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1,059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1,050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hyperlink r:id="rId39" w:tooltip="https://login.consultant.ru/link/?req=doc&amp;base=LAW&amp;n=411214" w:history="1">
              <w:r>
                <w:rPr>
                  <w:rFonts w:ascii="Arial" w:hAnsi="Arial" w:eastAsia="Arial" w:cs="Arial"/>
                  <w:color w:val="000000" w:themeColor="text1"/>
                  <w:sz w:val="20"/>
                  <w:szCs w:val="20"/>
                </w:rPr>
                <w:t xml:space="preserve">Приказ</w:t>
              </w:r>
            </w:hyperlink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Минтруда России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от 03.12 2024 № 661 «О проведении общероссийского мониторинга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состояния условий     и охраны труда»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contextualSpacing/>
              <w:ind w:left="7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pStyle w:val="621"/>
              <w:ind w:left="142" w:firstLine="0"/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13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pStyle w:val="621"/>
              <w:ind w:left="142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городского округа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166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Неналого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-вые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доходы от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использо-вания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объектов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муници-пальной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собствен-ности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земельных участков,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государст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-венная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собствен-ность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на которые не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разграни-чена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Прогрес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Тыс. руб.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346412,3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Гражданский кодекс Российской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Федера-ции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 Земельный Кодекс Российской Федерации, Фед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ральный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закон                 от 25.10.2001           № 137-ФЗ «О введении в действие Земельного кодекса Российской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Федера-ции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 Федеральный закон от 26.07.2006                        № 135-ФЗ «О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защи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-те конкуренции»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ind w:left="142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Приказ ФАС России от 21.03.2023                      № 147/23 «О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поряд-ке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проведения конкурсов или аукционов на право заключения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догово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-ров аренды,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догово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-ров безвозмездного пользования,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дого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-воров доверитель-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заключение указанных договоров может осуществляться путем проведения торгов в форме конкурса»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муниципаль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-ной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7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36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contextualSpacing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Вовлече-ние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земельных участков в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хозяйст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-венный оборот в целях увеличения доли земельных участков, являю-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щихся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объектами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налого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-обложения не менее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 50 га в год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Прогрес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Га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50,5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51,5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52,5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Перечень поручений по вопросам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реали-зации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государствен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-ной программы «Национальная система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пространст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-венных данных» (утвержден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Прези-дентом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Российской Федерации                       11 августа 2022 года          № Пр-1424). Распоряжение Правительства Российской Федерации от                  29 апреля 2021 года  № 1139-р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«Единая служба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муниципаль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недвижимости  и земельных ресурсов»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7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97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Цель муниципальной программы № 3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«Формирование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 городского округа Белгородской области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и повышение инвестиционной активности бизнеса»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97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ind w:left="142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Темп роста  объема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инвести-ций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субъе-ктов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МСП в основ-ной капитал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7" w:type="dxa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97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Прогрес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4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Процент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86,0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highlight w:val="white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en-US"/>
              </w:rPr>
              <w:t xml:space="preserve">101,0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highlight w:val="white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en-US"/>
              </w:rPr>
              <w:t xml:space="preserve">105,0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5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115,0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8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120,0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71" w:type="dxa"/>
            <w:textDirection w:val="lrTb"/>
            <w:noWrap w:val="false"/>
          </w:tcPr>
          <w:p>
            <w:pPr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125,0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остановление            правительства Белгородской области от                 25 декабря 2023 года № 750-пп                         «Об утверждении государственной программы               Белгородской области                 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«Развитие экономического потенциала                            и формирование благоприятного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предприниматель-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климата                           в Белгородской области»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Управление экономики и ценовой политики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8" w:type="dxa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51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955"/>
        </w:trPr>
        <w:tc>
          <w:tcPr>
            <w:gridSpan w:val="3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68" w:type="dxa"/>
            <w:vAlign w:val="center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4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1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8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Оборот субъектов МСП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Прогрес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Млрд. руб.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24,1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highlight w:val="yellow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28,7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highlight w:val="yellow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28,9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29,1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widowControl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29,3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29,5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29,7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15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остановление правительства Белгородской области от                 25 декабря 2023 года № 750-пп  «Об утверждении государственной программы Белгородской области                     «Развитие экономического потенциала и формирование благоприятного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предпринима-тельского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                     климата в Белгородской области»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Управление экономики и ценовой политики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142" w:right="6"/>
              <w:jc w:val="center"/>
              <w:spacing w:line="259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82" w:type="dxa"/>
            <w:textDirection w:val="lrTb"/>
            <w:noWrap w:val="false"/>
          </w:tcPr>
          <w:p>
            <w:pPr>
              <w:ind w:right="1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44" w:type="dxa"/>
            <w:textDirection w:val="lrTb"/>
            <w:noWrap w:val="false"/>
          </w:tcPr>
          <w:p>
            <w:pPr>
              <w:ind w:left="80" w:right="6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ность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занятых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 сфере малого и среднего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предпри-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нима-тельства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включая индивиду-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предпри-нимателей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нятых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2" w:type="dxa"/>
            <w:textDirection w:val="lrTb"/>
            <w:noWrap w:val="false"/>
          </w:tcPr>
          <w:p>
            <w:pPr>
              <w:ind w:lef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84" w:type="dxa"/>
            <w:textDirection w:val="lrTb"/>
            <w:noWrap w:val="false"/>
          </w:tcPr>
          <w:p>
            <w:pPr>
              <w:ind w:left="50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Прогрес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-сирую-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20" w:type="dxa"/>
            <w:textDirection w:val="lrTb"/>
            <w:noWrap w:val="false"/>
          </w:tcPr>
          <w:p>
            <w:pPr>
              <w:ind w:right="26"/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12266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" w:type="dxa"/>
            <w:textDirection w:val="lrTb"/>
            <w:noWrap w:val="false"/>
          </w:tcPr>
          <w:p>
            <w:pPr>
              <w:ind w:left="72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13039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13470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13926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14297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14594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5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14887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59" w:type="dxa"/>
            <w:textDirection w:val="lrTb"/>
            <w:noWrap w:val="false"/>
          </w:tcPr>
          <w:p>
            <w:pPr>
              <w:ind w:left="11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остановление правительства Белгородской области от                 25 декабря 2023 года № 750-пп  «Об утверждении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государствен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  <w:p>
            <w:pPr>
              <w:ind w:left="11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ной программы Белгородской области                  «Развитие экономического потенциала и формирование благоприятного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предпринима-тельского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            климата в Белгородской области»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9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Управление экономики и ценовой политики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13" w:type="dxa"/>
            <w:textDirection w:val="lrTb"/>
            <w:noWrap w:val="false"/>
          </w:tcPr>
          <w:p>
            <w:pPr>
              <w:ind w:left="142" w:right="6"/>
              <w:jc w:val="center"/>
              <w:spacing w:line="267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616" w:type="dxa"/>
            <w:textDirection w:val="lrTb"/>
            <w:noWrap w:val="false"/>
          </w:tcPr>
          <w:p>
            <w:pPr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pStyle w:val="31"/>
        <w:ind w:left="9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31"/>
        <w:numPr>
          <w:ilvl w:val="0"/>
          <w:numId w:val="12"/>
        </w:num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Помесячный план достижения показателей муниципальной программы в 2025 году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3"/>
        <w:gridCol w:w="1133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0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118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44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89" w:firstLine="10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измерения (по ОКЕИ)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795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Плановые значения по кварталам / месяцам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 конец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2025 года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95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январь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февраль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2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март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4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7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май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июнь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июль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август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сентябрь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ind w:left="45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ноябрь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</w:pPr>
            <w:r/>
            <w:r/>
            <w:r/>
          </w:p>
        </w:tc>
      </w:tr>
    </w:tbl>
    <w:p>
      <w:pPr>
        <w:jc w:val="center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15877" w:type="dxa"/>
        <w:tblInd w:w="-567" w:type="dxa"/>
        <w:tblLayout w:type="fixed"/>
        <w:tblCellMar>
          <w:left w:w="0" w:type="dxa"/>
          <w:top w:w="26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2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234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6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7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0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ind w:left="13"/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210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   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ind w:left="144" w:right="13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144" w:right="13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«Создание условий для формирования культуры безопасного труда и повышение эффективности мер, направленных на сохранение жизни и здоровья работников                      в процессе трудовой деятельности»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1,083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1,083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1,083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1,083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«Повышение эффективности муниципального управления в сфере имущественных и земельных отношений на территории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городского округа                    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pStyle w:val="621"/>
              <w:ind w:left="142" w:right="136" w:firstLine="0"/>
              <w:jc w:val="both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Неналоговые доходы от использования объектов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муниципальной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собствен-ности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и земельных участков,  государственная собственность на которые не разграничена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Тыс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22100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44200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66300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88400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110500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132600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154700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176800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198900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221000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eastAsia="zh-CN"/>
              </w:rPr>
              <w:t xml:space="preserve">243100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265100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4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contextualSpacing/>
              <w:ind w:left="142" w:right="1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4,2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8,9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13,0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17,3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21,5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25,7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38,7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43,0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47,2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50,5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74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contextualSpacing/>
              <w:ind w:right="13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Цель муниципальной программы № 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contextualSpacing/>
              <w:ind w:right="13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«Формирование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городского округа Белгородской области и повышение инвестиционной активности бизнеса»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Темп роста  объема инвестиций субъектов МСП в основной капитал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Процент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0"/>
                <w:szCs w:val="20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101,0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39"/>
        </w:trPr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877" w:type="dxa"/>
            <w:textDirection w:val="lrTb"/>
            <w:noWrap w:val="false"/>
          </w:tcPr>
          <w:p>
            <w:pPr>
              <w:pStyle w:val="623"/>
              <w:contextualSpacing/>
              <w:ind w:left="286" w:right="27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Цель муниципальной программы № 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3"/>
              <w:contextualSpacing/>
              <w:ind w:left="286" w:right="27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«Создание благоприятных условий для устойчивого развития малого и среднего предпринимательства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5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Оборот субъектов МСП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spacing w:after="123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Млрд. рублей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7,18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15,6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23,2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highlight w:val="yellow"/>
              </w:rPr>
              <w:outlineLvl w:val="1"/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28,7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92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2" w:type="dxa"/>
            <w:textDirection w:val="lrTb"/>
            <w:noWrap w:val="false"/>
          </w:tcPr>
          <w:p>
            <w:pPr>
              <w:ind w:left="142" w:right="1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самозанятых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ind w:lef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123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12685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12884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12997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13039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spacing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4. Структура муниципальной программы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3648"/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Align w:val="bottom"/>
            <w:textDirection w:val="lrTb"/>
            <w:noWrap w:val="false"/>
          </w:tcPr>
          <w:p>
            <w:pPr>
              <w:ind w:right="7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7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Align w:val="center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Задачи структурного элемента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Align w:val="center"/>
            <w:textDirection w:val="lrTb"/>
            <w:noWrap w:val="false"/>
          </w:tcPr>
          <w:p>
            <w:pPr>
              <w:ind w:left="45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с показателями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spacing w:after="17" w:line="17" w:lineRule="atLeast"/>
        <w:rPr>
          <w:rFonts w:ascii="Arial" w:hAnsi="Arial" w:cs="Arial"/>
          <w:sz w:val="2"/>
          <w:szCs w:val="2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5874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>
        <w:tblPrEx/>
        <w:trPr>
          <w:trHeight w:val="12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right="1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33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49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9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Направление (подпрограмма) 1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«Улучшение условий и охран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труда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Комплекс процессных мероприятий «Улучшение условий и охрана труда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 городском округе Белгородской области»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 w:firstLine="142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Ответственный за реализацию: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15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Задача 1.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Обеспечено повышение культуры безопасного труда в целях формирования условий труда, позволяющих сохранить трудоспособность работающего населения на всем протяжении профессиональной карьеры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 w:firstLine="14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Направление (подпрограмма) 2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«Управление земельными ресурсами и имуществом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городского округа              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городского округа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Ответственный за реализацию: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комитет по управлению муниципальной собственностью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округа; 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6" w:firstLine="126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.1.1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Задача 1.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Исполнение муниципальных функций (оказание муниципальных услуг) исполнительными органами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в соответствии с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действующим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законода-тельством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беспечена деятельность комитета по управлению муниципальной собственностью администрации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городского округа, реализован комплекс мероприятий, направленных на эффективное управление муниципальной собственностью, зачислены в бюджет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621"/>
              <w:ind w:left="142" w:right="72" w:firstLine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ind w:left="57" w:right="5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textDirection w:val="lrTb"/>
            <w:noWrap w:val="false"/>
          </w:tcPr>
          <w:p>
            <w:pPr>
              <w:pStyle w:val="621"/>
              <w:ind w:left="142" w:right="72" w:firstLine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Комплекс процессных мероприятий «Обеспечение реализации муниципальной программы»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textDirection w:val="lrTb"/>
            <w:noWrap w:val="false"/>
          </w:tcPr>
          <w:p>
            <w:pPr>
              <w:ind w:left="57" w:right="57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Ответственный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за реализацию: МКУ «Единая служба муниципальной недвижимости и земельных ресурсов»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621"/>
              <w:ind w:left="142" w:right="72" w:firstLine="0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Срок реализации: 2025 — 2030 годы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.2.1.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shd w:val="clear" w:color="ffffff" w:themeColor="background1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Задача 1. Реализация комплекса процессных мероприятий по  кадастровой деятельности, землеустройству и землепользованию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pStyle w:val="621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Обеспечена деятельность (оказание услуг) подведомственного учреждения - МКУ «Единая служба муниципальной недвижимости и земельных ресурсов».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Реализ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совершенствование системы управления земельными участками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pStyle w:val="621"/>
              <w:ind w:left="142" w:right="74" w:firstLine="0"/>
              <w:jc w:val="both"/>
              <w:shd w:val="clear" w:color="ffffff" w:themeColor="background1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налогообло-жения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не менее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50 га в год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pStyle w:val="621"/>
              <w:ind w:left="142" w:right="72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Направление (подпрограмма) 3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«Улучшение инвестиционного климата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Комплекс процессных мероприятий «Реализация мероприятий по привлечению инвестиций и работе с инвесторами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57" w:right="57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Ответственный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за реализацию: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управление экономики и ценовой политики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pStyle w:val="621"/>
              <w:ind w:left="142" w:right="72" w:firstLine="0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Обеспечение улучшения организационных                   и экономических условий осуществления инвестиционной деятельности, повышение информированности представителей                 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бизнес-сообществ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 реализуемых в               городском округе проектах и созданной инфраструктуре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Темп роста  объема инвестиций субъектов МСП в основной капитал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ind w:right="3"/>
              <w:jc w:val="center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204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Направление (подпрограмма) 4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«Развитие и поддержка малого и среднего предпринимательства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981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Комплекс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«Элементы устойчивого развития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малого и среднего предпринимательства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9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43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Ответственный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за реализацию: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управление экономики и ценовой политики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округа, управление потребительского рынка, бытовых услуг и защиты прав потребителей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4.1.1.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1. Популяризация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предпринима-тельской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деятельности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Обеспечить участие субъектов МСП в конкурсах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профессинального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мастерства,               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т.ч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предприниматель»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занятых в сфере малого и среднего предпринимательства,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вклю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-чая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индивидуальных предпринимателей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самозанятых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4.1.2.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91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2. Создание условий для вовлечения граждан в предпринимательскую деятельность и комфортного ведения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4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Гражданам, желающим вести бизнес, начинающим и действующим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предпринимате-лям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предоставлен комплекс услуг,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направ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-ленных на вовлечение в предпринимательскую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деятельность, а также информационно-консультационных и образовательных услуг в офлайн формате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546" w:type="dxa"/>
            <w:textDirection w:val="lrTb"/>
            <w:noWrap w:val="false"/>
          </w:tcPr>
          <w:p>
            <w:pPr>
              <w:ind w:left="142" w:right="72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Оборот субъектов МСП.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14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занятых в сфере малого и среднего предпринимательства,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вклю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-чая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индивидуальных предпринимателей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самозанятых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spacing w:line="28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</w:p>
    <w:p>
      <w:pPr>
        <w:jc w:val="center"/>
        <w:spacing w:line="283" w:lineRule="atLeast"/>
        <w:rPr>
          <w:rFonts w:ascii="Arial" w:hAnsi="Arial" w:eastAsia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</w:p>
    <w:p>
      <w:pPr>
        <w:jc w:val="center"/>
        <w:spacing w:line="283" w:lineRule="atLeast"/>
        <w:rPr>
          <w:rFonts w:ascii="Arial" w:hAnsi="Arial" w:eastAsia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  <w:t xml:space="preserve">5. Финансовое обеспечение муниципальной программы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15838" w:type="dxa"/>
        <w:tblInd w:w="-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7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ind w:left="81" w:firstLine="1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81" w:firstLine="1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left="1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программы,  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ind w:righ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бюджетной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классифика-ции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tabs>
                <w:tab w:val="center" w:pos="70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shd w:val="clear" w:color="ffffff" w:fill="ffffff"/>
            <w:tcBorders>
              <w:bottom w:val="single" w:color="000000" w:sz="4" w:space="0"/>
            </w:tcBorders>
            <w:tcW w:w="7351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bottom w:val="non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6373" w:type="dxa"/>
            <w:vMerge w:val="continue"/>
            <w:textDirection w:val="lrTb"/>
            <w:noWrap w:val="false"/>
          </w:tcPr>
          <w:p>
            <w:pPr>
              <w:spacing w:after="123"/>
            </w:pPr>
            <w:r/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547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ind w:left="1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029" w:type="dxa"/>
            <w:textDirection w:val="lrTb"/>
            <w:noWrap w:val="false"/>
          </w:tcPr>
          <w:p>
            <w:pPr>
              <w:ind w:left="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bottom w:val="none" w:color="000000" w:sz="4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15840" w:type="dxa"/>
        <w:tblInd w:w="-706" w:type="dxa"/>
        <w:tblLayout w:type="fixed"/>
        <w:tblCellMar>
          <w:left w:w="0" w:type="dxa"/>
          <w:top w:w="33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037"/>
        <w:gridCol w:w="1037"/>
        <w:gridCol w:w="1037"/>
        <w:gridCol w:w="1037"/>
        <w:gridCol w:w="1037"/>
        <w:gridCol w:w="1029"/>
        <w:gridCol w:w="1137"/>
      </w:tblGrid>
      <w:tr>
        <w:tblPrEx/>
        <w:trPr>
          <w:trHeight w:val="27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Align w:val="center"/>
            <w:textDirection w:val="lrTb"/>
            <w:noWrap w:val="false"/>
          </w:tcPr>
          <w:p>
            <w:pPr>
              <w:ind w:right="3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right="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ind w:left="1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2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Align w:val="center"/>
            <w:textDirection w:val="lrTb"/>
            <w:noWrap w:val="false"/>
          </w:tcPr>
          <w:p>
            <w:pPr>
              <w:ind w:left="2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24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«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»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0800000000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43 283,0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16 036,0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16 677,0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161 259,0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0840000000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43 283,0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16 036,0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28 421,0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25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161 259,0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8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6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«Улучшение условий и охран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труда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городском округе Белгородской области» (всего), в том числе: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0840100000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0840129340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2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«Управление земельными ресурсами и имуществом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городского округа Белгородской области»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(всего)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0840200000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25 073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59 870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0840229440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25 073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11 599,0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59 870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«Обеспечение реализации муниципальной программы»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(всего)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в том числе: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0840300000</w:t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18 065,0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16 036,0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100 809,0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0840320590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18 065,0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16 036,0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100 809,0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1.4.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«Реализация мероприятий по привлечению инвестиций и работе                с инвесторами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(всего)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0840400000</w:t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0840429330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1.5.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«Элементы устойчивого развития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малого и среднего предпринимательства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в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городском округе Белгородской области» (всего), в том числе: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0840500000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456,0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0840529290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456,0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vMerge w:val="restart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vMerge w:val="restart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75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4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7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29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spacing w:line="28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Приложение № 1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к муниципальной программе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I.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Паспорт комплекса процессных мероприятий «Улучшение условий и охраны труда в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городском округе Белгородской области»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(далее - комплекс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)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keepLines/>
        <w:keepNext/>
        <w:spacing w:before="320" w:after="200"/>
        <w:rPr>
          <w:rFonts w:ascii="Arial" w:hAnsi="Arial" w:cs="Arial"/>
          <w:b/>
          <w:bCs/>
          <w:sz w:val="24"/>
          <w:szCs w:val="24"/>
        </w:rPr>
        <w:outlineLvl w:val="3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1. Общие положения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W w:w="5021" w:type="pct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239"/>
        <w:gridCol w:w="8090"/>
      </w:tblGrid>
      <w:tr>
        <w:tblPrEx/>
        <w:trPr>
          <w:cantSplit/>
        </w:trPr>
        <w:tc>
          <w:tcPr>
            <w:shd w:val="clear" w:color="ffffff" w:fill="ffffff"/>
            <w:tcW w:w="8239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Ответственное структурное подразделение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8090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округа,                                    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239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8090" w:type="dxa"/>
            <w:textDirection w:val="lrTb"/>
            <w:noWrap w:val="false"/>
          </w:tcPr>
          <w:p>
            <w:pPr>
              <w:contextualSpacing/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6"/>
          <w:szCs w:val="26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2. Показатели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43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2405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Признак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возраста-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убы-вания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-венный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за достижение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-че-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44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2982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240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публикаций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размещенных в СМИ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2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3. Помесячный план достижения показателей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в 2025 году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2416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738"/>
      </w:tblGrid>
      <w:tr>
        <w:tblPrEx/>
        <w:trPr>
          <w:trHeight w:val="2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-рения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 конец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             2025 года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367" w:type="dxa"/>
        <w:tblInd w:w="-215" w:type="dxa"/>
        <w:tblLayout w:type="fixed"/>
        <w:tblLook w:val="04A0" w:firstRow="1" w:lastRow="0" w:firstColumn="1" w:lastColumn="0" w:noHBand="0" w:noVBand="1"/>
      </w:tblPr>
      <w:tblGrid>
        <w:gridCol w:w="635"/>
        <w:gridCol w:w="2416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738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zh-CN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zh-CN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публикаций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о состоянии условий и охраны труда на территории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Белгородской области, об изменениях в трудовом законодательстве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размещенных в СМИ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sz w:val="24"/>
          <w:szCs w:val="24"/>
        </w:rPr>
        <w:outlineLvl w:val="2"/>
      </w:pP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</w:p>
    <w:p>
      <w:pPr>
        <w:numPr>
          <w:ilvl w:val="0"/>
          <w:numId w:val="7"/>
        </w:numPr>
        <w:jc w:val="center"/>
        <w:rPr>
          <w:rFonts w:ascii="Arial" w:hAnsi="Arial" w:cs="Arial"/>
          <w:b/>
          <w:sz w:val="24"/>
          <w:szCs w:val="24"/>
        </w:rPr>
        <w:outlineLvl w:val="2"/>
      </w:pPr>
      <w:r>
        <w:rPr>
          <w:rFonts w:ascii="Arial" w:hAnsi="Arial" w:eastAsia="Arial" w:cs="Arial"/>
          <w:b/>
          <w:sz w:val="20"/>
          <w:szCs w:val="20"/>
        </w:rPr>
        <w:t xml:space="preserve">Перечень мероприятий (результатов) комплекса процессных мероприятий </w:t>
      </w:r>
      <w:r>
        <w:rPr>
          <w:rFonts w:ascii="Arial" w:hAnsi="Arial" w:eastAsia="Arial" w:cs="Arial"/>
          <w:b/>
          <w:sz w:val="20"/>
          <w:szCs w:val="20"/>
        </w:rPr>
        <w:t xml:space="preserve">1</w:t>
      </w: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</w:p>
    <w:p>
      <w:pPr>
        <w:ind w:left="992"/>
        <w:rPr>
          <w:rFonts w:ascii="Arial" w:hAnsi="Arial" w:cs="Arial"/>
          <w:b/>
          <w:sz w:val="24"/>
          <w:szCs w:val="24"/>
        </w:rPr>
        <w:outlineLvl w:val="2"/>
      </w:pP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</w:p>
    <w:tbl>
      <w:tblPr>
        <w:tblW w:w="16299" w:type="dxa"/>
        <w:tblInd w:w="-1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2317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4201"/>
      </w:tblGrid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2317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40" w:tooltip="https://login.consultant.ru/link/?req=doc&amp;base=LAW&amp;n=441135" w:history="1">
              <w:r>
                <w:rPr>
                  <w:rFonts w:ascii="Arial" w:hAnsi="Arial" w:eastAsia="Arial" w:cs="Arial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61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2317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vMerge w:val="continue"/>
            <w:textDirection w:val="lrTb"/>
            <w:noWrap w:val="false"/>
          </w:tcPr>
          <w:p>
            <w:pPr>
              <w:ind w:firstLine="720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  <w:r>
              <w:rPr>
                <w:rFonts w:ascii="Arial" w:hAnsi="Arial" w:eastAsia="Calibri" w:cs="Arial"/>
              </w:rPr>
            </w:r>
          </w:p>
        </w:tc>
      </w:tr>
    </w:tbl>
    <w:p>
      <w:pPr>
        <w:rPr>
          <w:rFonts w:ascii="Arial" w:hAnsi="Arial" w:cs="Arial"/>
          <w:b/>
          <w:sz w:val="2"/>
          <w:szCs w:val="2"/>
        </w:rPr>
        <w:outlineLvl w:val="2"/>
      </w:pP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  <w:r>
        <w:rPr>
          <w:rFonts w:ascii="Arial" w:hAnsi="Arial" w:eastAsia="Arial" w:cs="Arial"/>
          <w:b/>
          <w:sz w:val="20"/>
          <w:szCs w:val="20"/>
        </w:rPr>
      </w:r>
    </w:p>
    <w:tbl>
      <w:tblPr>
        <w:tblW w:w="16299" w:type="dxa"/>
        <w:tblInd w:w="-1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2317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4201"/>
      </w:tblGrid>
      <w:tr>
        <w:tblPrEx/>
        <w:trPr>
          <w:trHeight w:val="281"/>
          <w:tblHeader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42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5732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2317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«Организация и проведение Дней охраны труда,  конкурсов по вопросам охраны труда среди хозяйствующих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субъектов городского округа»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Оказание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публикаций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о состоянии условий и охраны труда на территории Губкин-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ского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Белго-родской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области, об измене-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ниях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в трудовом законодатель-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стве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размещенных в СМИ.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142" w:firstLine="0"/>
              <w:jc w:val="both"/>
              <w:spacing w:after="200" w:line="276" w:lineRule="auto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Координа-ционных</w:t>
            </w:r>
            <w:r>
              <w:rPr>
                <w:rFonts w:ascii="Arial" w:hAnsi="Arial" w:eastAsia="Arial" w:cs="Arial"/>
                <w:bCs/>
                <w:sz w:val="20"/>
                <w:szCs w:val="20"/>
                <w:lang w:eastAsia="en-US"/>
              </w:rPr>
              <w:t xml:space="preserve">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12"/>
            <w:tcW w:w="15732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В рамках мероприятия проведены мероприятия для формирования культуры безопасного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труда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5. Финансовое обеспечение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215" w:type="dxa"/>
        <w:tblLayout w:type="fixed"/>
        <w:tblLook w:val="04A0" w:firstRow="1" w:lastRow="0" w:firstColumn="1" w:lastColumn="0" w:noHBand="0" w:noVBand="1"/>
      </w:tblPr>
      <w:tblGrid>
        <w:gridCol w:w="635"/>
        <w:gridCol w:w="5359"/>
        <w:gridCol w:w="2694"/>
        <w:gridCol w:w="992"/>
        <w:gridCol w:w="992"/>
        <w:gridCol w:w="992"/>
        <w:gridCol w:w="993"/>
        <w:gridCol w:w="992"/>
        <w:gridCol w:w="992"/>
        <w:gridCol w:w="1727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Объем финансового обеспечения по годам,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тыс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9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5860"/>
        <w:gridCol w:w="2694"/>
        <w:gridCol w:w="992"/>
        <w:gridCol w:w="992"/>
        <w:gridCol w:w="992"/>
        <w:gridCol w:w="993"/>
        <w:gridCol w:w="992"/>
        <w:gridCol w:w="992"/>
        <w:gridCol w:w="1727"/>
      </w:tblGrid>
      <w:tr>
        <w:tblPrEx/>
        <w:trPr>
          <w:trHeight w:val="3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0840100000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Организация и проведение Дней охраны труда,  конкурсов по вопросам охраны труда среди хозяйствующих субъектов городского округа,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85004120840129340200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85004120840129340200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0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ind w:right="-216"/>
              <w:tabs>
                <w:tab w:val="left" w:pos="850" w:leader="none"/>
              </w:tabs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0"/>
          <w:szCs w:val="20"/>
        </w:rPr>
        <w:outlineLvl w:val="0"/>
      </w:pP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0"/>
          <w:szCs w:val="20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141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Приложение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к паспорту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План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1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7370"/>
        <w:gridCol w:w="2658"/>
        <w:gridCol w:w="2126"/>
        <w:gridCol w:w="315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Задача, мероприятие (результат)/ контрольная точка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Дата наступления контрольной точки                 (день, месяц)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«Организация и проведение Дней охраны труда, конкурсов по вопросам охраны труда среди хозяйствующих субъектов городского округа» - ежегодно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показателей за 1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10.04.2025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показателей за 2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10.07.2025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показателей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10.10.2025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1.1.4.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показателей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20.01.2026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1.1.5.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за 2025 год»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25.02.2026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sz w:val="20"/>
          <w:szCs w:val="20"/>
          <w:highlight w:val="white"/>
        </w:rPr>
      </w:r>
      <w:r>
        <w:rPr>
          <w:rFonts w:ascii="Arial" w:hAnsi="Arial" w:eastAsia="Arial" w:cs="Arial"/>
          <w:b/>
          <w:sz w:val="20"/>
          <w:szCs w:val="20"/>
          <w:highlight w:val="white"/>
        </w:rPr>
      </w:r>
      <w:r>
        <w:rPr>
          <w:rFonts w:ascii="Arial" w:hAnsi="Arial" w:eastAsia="Arial" w:cs="Arial"/>
          <w:b/>
          <w:sz w:val="20"/>
          <w:szCs w:val="20"/>
          <w:highlight w:val="white"/>
        </w:rPr>
      </w:r>
    </w:p>
    <w:p>
      <w:pPr>
        <w:jc w:val="center"/>
        <w:rPr>
          <w:rFonts w:ascii="Arial" w:hAnsi="Arial" w:cs="Arial"/>
          <w:b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sz w:val="20"/>
          <w:szCs w:val="20"/>
          <w:highlight w:val="white"/>
        </w:rPr>
      </w:r>
      <w:r>
        <w:rPr>
          <w:rFonts w:ascii="Arial" w:hAnsi="Arial" w:eastAsia="Arial" w:cs="Arial"/>
          <w:b/>
          <w:sz w:val="20"/>
          <w:szCs w:val="20"/>
          <w:highlight w:val="white"/>
        </w:rPr>
      </w:r>
      <w:r>
        <w:rPr>
          <w:rFonts w:ascii="Arial" w:hAnsi="Arial" w:eastAsia="Arial" w:cs="Arial"/>
          <w:b/>
          <w:sz w:val="20"/>
          <w:szCs w:val="20"/>
          <w:highlight w:val="white"/>
        </w:rPr>
      </w:r>
    </w:p>
    <w:p>
      <w:pPr>
        <w:ind w:left="-709" w:right="2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Приложение № </w:t>
      </w:r>
      <w:r>
        <w:rPr>
          <w:rFonts w:ascii="Arial" w:hAnsi="Arial" w:eastAsia="Arial" w:cs="Arial"/>
          <w:sz w:val="20"/>
          <w:szCs w:val="20"/>
        </w:rPr>
        <w:t xml:space="preserve">2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sz w:val="20"/>
          <w:szCs w:val="20"/>
        </w:rPr>
        <w:t xml:space="preserve">        </w:t>
      </w:r>
      <w:r>
        <w:rPr>
          <w:rFonts w:ascii="Arial" w:hAnsi="Arial" w:eastAsia="Arial" w:cs="Arial"/>
          <w:sz w:val="20"/>
          <w:szCs w:val="20"/>
        </w:rPr>
        <w:t xml:space="preserve">  к муниципальной программе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II.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Паспорт комплекса процессных мероприятий «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Управление земельными ресурсами и имуществом 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Губкинского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 городского округа Белгородской области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» </w:t>
      </w:r>
      <w:r>
        <w:rPr>
          <w:rFonts w:ascii="Arial" w:hAnsi="Arial" w:eastAsia="Arial" w:cs="Arial"/>
          <w:bCs/>
          <w:sz w:val="20"/>
          <w:szCs w:val="20"/>
        </w:rPr>
        <w:t xml:space="preserve">(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далее - комплекс процессных мероприятий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2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)</w:t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621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1"/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1. Общие положения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1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tbl>
      <w:tblPr>
        <w:tblW w:w="5193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2"/>
        <w:gridCol w:w="7722"/>
      </w:tblGrid>
      <w:tr>
        <w:tblPrEx/>
        <w:trPr>
          <w:cantSplit/>
          <w:trHeight w:val="1340"/>
        </w:trPr>
        <w:tc>
          <w:tcPr>
            <w:shd w:val="clear" w:color="ffffff" w:fill="ffffff"/>
            <w:tcW w:w="8402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Ответственное структурное подразделение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администрации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Комитет по управлению муниципальной собственностью администрации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округа, председатель комитета по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МКУ «Управление капитального строительства»,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982"/>
        </w:trPr>
        <w:tc>
          <w:tcPr>
            <w:shd w:val="clear" w:color="ffffff" w:fill="ffffff"/>
            <w:tcW w:w="8402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Связь с муниципальной программой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722" w:type="dxa"/>
            <w:textDirection w:val="lrTb"/>
            <w:noWrap w:val="false"/>
          </w:tcPr>
          <w:p>
            <w:pPr>
              <w:pStyle w:val="623"/>
              <w:contextualSpacing/>
              <w:rPr>
                <w:rFonts w:ascii="Arial" w:hAnsi="Arial" w:cs="Arial"/>
                <w:b w:val="0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Губкинском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2. Показатели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2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pPr w:horzAnchor="text" w:tblpX="-709" w:vertAnchor="text" w:tblpY="1" w:leftFromText="180" w:topFromText="0" w:rightFromText="180" w:bottomFromText="0"/>
        <w:tblW w:w="16157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Признак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возраста-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убы-вания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-венный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за достижение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-че-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"/>
          <w:szCs w:val="2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31688" w:type="dxa"/>
        <w:tblInd w:w="-16240" w:type="dxa"/>
        <w:tblLayout w:type="fixed"/>
        <w:tblLook w:val="04A0" w:firstRow="1" w:lastRow="0" w:firstColumn="1" w:lastColumn="0" w:noHBand="0" w:noVBand="1"/>
      </w:tblPr>
      <w:tblGrid>
        <w:gridCol w:w="850"/>
        <w:gridCol w:w="18790"/>
        <w:gridCol w:w="1417"/>
        <w:gridCol w:w="992"/>
        <w:gridCol w:w="1417"/>
        <w:gridCol w:w="709"/>
        <w:gridCol w:w="850"/>
        <w:gridCol w:w="850"/>
        <w:gridCol w:w="783"/>
        <w:gridCol w:w="776"/>
        <w:gridCol w:w="850"/>
        <w:gridCol w:w="850"/>
        <w:gridCol w:w="852"/>
        <w:gridCol w:w="1701"/>
      </w:tblGrid>
      <w:tr>
        <w:tblPrEx/>
        <w:trPr>
          <w:trHeight w:val="27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9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Подготовка проекта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рекуль-тивации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(снятие и использование плодородного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слоя почвы)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муниципаль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9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объектов муниципального имущества по договорам аренды и купли-продажи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267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265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248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240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233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228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муниципаль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1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90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земельных участков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1608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1357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2757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2857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2957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муниципаль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34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3. Помесячный план достижения показателей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2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в 2025 году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34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05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31"/>
        </w:trPr>
        <w:tc>
          <w:tcPr>
            <w:tcW w:w="6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-рения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0347" w:type="dxa"/>
            <w:textDirection w:val="lrTb"/>
            <w:noWrap w:val="false"/>
          </w:tcPr>
          <w:p>
            <w:pPr>
              <w:ind w:right="28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Плановое значение по кварталам/месяцам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218"/>
        </w:trPr>
        <w:tc>
          <w:tcPr>
            <w:tcW w:w="60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83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133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12" w:type="dxa"/>
            <w:vAlign w:val="center"/>
            <w:textDirection w:val="btLr"/>
            <w:noWrap w:val="false"/>
          </w:tcPr>
          <w:p>
            <w:pPr>
              <w:ind w:left="113" w:right="113"/>
              <w:tabs>
                <w:tab w:val="left" w:pos="709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 конец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             2025 года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23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8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Подготовка проекта рекультивации (снятие              и использование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плодо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-родного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слоя почвы)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13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объек-тов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муниципального имущества по договорам аренды и купли-продажи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земель-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ных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участков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1357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349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  <w:t xml:space="preserve">4. Перечень мероприятий (результатов) комплекса процессных мероприятий </w:t>
      </w:r>
      <w:r>
        <w:rPr>
          <w:rFonts w:ascii="Arial" w:hAnsi="Arial" w:eastAsia="Arial" w:cs="Arial"/>
          <w:sz w:val="20"/>
          <w:szCs w:val="20"/>
        </w:rPr>
        <w:t xml:space="preserve">2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/п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Тип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Единица измерения (по </w:t>
            </w:r>
            <w:hyperlink r:id="rId41" w:tooltip="https://login.consultant.ru/link/?req=doc&amp;base=LAW&amp;n=441135" w:history="1">
              <w:r>
                <w:rPr>
                  <w:rFonts w:ascii="Arial" w:hAnsi="Arial" w:eastAsia="Arial" w:cs="Arial"/>
                  <w:b/>
                  <w:bCs/>
                  <w:color w:val="000000" w:themeColor="text1"/>
                  <w:sz w:val="20"/>
                  <w:szCs w:val="20"/>
                  <w:highlight w:val="white"/>
                </w:rPr>
                <w:t xml:space="preserve">ОКЕИ</w:t>
              </w:r>
            </w:hyperlink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Базовое значение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647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2691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значе-ние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год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2030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621"/>
        <w:jc w:val="both"/>
        <w:spacing w:line="1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095" w:type="dxa"/>
        <w:tblInd w:w="-6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7"/>
        <w:gridCol w:w="2691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8"/>
          <w:tblHeader/>
        </w:trPr>
        <w:tc>
          <w:tcPr>
            <w:tcW w:w="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69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95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5448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         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281"/>
        </w:trPr>
        <w:tc>
          <w:tcPr>
            <w:tcW w:w="64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«Мероприятия по проведению рекультивации несанкционированных карьеров»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Осущест-вление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текущей деятельности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Подготовка проекта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рекуль-тивации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(снятие и использование плодородного слоя почвы)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525"/>
        </w:trPr>
        <w:tc>
          <w:tcPr>
            <w:tcW w:w="647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Осущест-вление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текущей деятельности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224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222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216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6"/>
                <w:szCs w:val="26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185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объектов муниципального имущества по договорам аренды и купли-продажи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34"/>
        </w:trPr>
        <w:tc>
          <w:tcPr>
            <w:tcW w:w="647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Cs/>
                <w:sz w:val="24"/>
                <w:szCs w:val="24"/>
                <w:highlight w:val="green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green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gree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Осущест-вление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текущей деятельности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4844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4944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4950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4955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4960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4965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Предоставление земельных участков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14"/>
        </w:trPr>
        <w:tc>
          <w:tcPr>
            <w:gridSpan w:val="13"/>
            <w:tcW w:w="16095" w:type="dxa"/>
            <w:textDirection w:val="lrTb"/>
            <w:noWrap w:val="false"/>
          </w:tcPr>
          <w:p>
            <w:pPr>
              <w:ind w:left="80" w:right="156" w:firstLine="80"/>
              <w:jc w:val="both"/>
              <w:spacing w:line="259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Реализация комплекса процессных мероприятий (в том числе заключение договоров аренды и купли-продажи  муниципального имущества и земельных участков, снос брошенных домовладений, оценка рыночной с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тоимости   объектов муниципальной собственности и земельных участков, подготовка технической документации, выкуп объектов частной фо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рмы собственности в целях реализации функций и полномочий органов местного самоуправления) направлена                                                              на реализацию конституционных норм и гарантий прав собственности на землю и иную недвижимость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 активизацию  вовлечения земли и имуще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ства в гражданский оборот,  формирование базы экономически обоснованного налогообложения,   а также совершенствование системы управления  земельными участками и имуществом, находящимися в мун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иципальной  собственности, что приведет к рациональному использованию и эффективному управлению муниципальной собственностью (имущество  и земельные участки)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5. Финансовое обеспечение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2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тыс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.р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1134"/>
        <w:gridCol w:w="992"/>
        <w:gridCol w:w="992"/>
        <w:gridCol w:w="1134"/>
        <w:gridCol w:w="1134"/>
        <w:gridCol w:w="1134"/>
        <w:gridCol w:w="1166"/>
      </w:tblGrid>
      <w:tr>
        <w:tblPrEx/>
        <w:trPr>
          <w:trHeight w:val="20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0840200000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25 073,0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59 870,0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25 073,0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11 599,0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59 870,0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-74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11.1.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Мероприятие (результат)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 «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Мероприятия                    по проведению рекультивации несанкционированных карьеров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               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  <w:lang w:val="en-US"/>
              </w:rPr>
              <w:t xml:space="preserve">86006050840221410200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  <w:lang w:val="en-US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86006050840221410200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200,0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11.2.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,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  <w:lang w:val="en-US"/>
              </w:rPr>
              <w:t xml:space="preserve">85504120840229440200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,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86004120840229440200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24 428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56 777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  <w:lang w:val="en-US"/>
              </w:rPr>
              <w:t xml:space="preserve">85504120840229440200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86004120840229440200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24 428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10 783,0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37"/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56 777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tabs>
                <w:tab w:val="left" w:pos="1276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11.3.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оценки»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86004120840229450200,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86004120840229450800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445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2 893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86004120840229450200,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86004120840229450800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445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816,0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2 893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1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6" w:type="dxa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Приложение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-879"/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к паспорту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2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План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2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8186"/>
        <w:gridCol w:w="1984"/>
        <w:gridCol w:w="2161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8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Задача, мероприятие (результат)/ контрольная точка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Дата наступления контрольной точки                 (день, месяц)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17"/>
        <w:gridCol w:w="8078"/>
        <w:gridCol w:w="1984"/>
        <w:gridCol w:w="2161"/>
        <w:gridCol w:w="3118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41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Задача 1. Исполнение муниципальных функций (оказание муниципальных услуг) исполнительными органами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«Мероприятия по проведению рекультивации несанкционированных карьеров»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«Мероприятия по проведению рекультивации несанкционированных карьеров» - 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20.07.2025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20.10.2025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20.01.2026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1.1.4.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за 2025 год»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25.02.2026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- ежегодно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20.04.2025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20.07.2025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20.10.2025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2.1.4.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.01.2026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2.1.5.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25.02.2026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управления муниципальным имуществом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директор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«Управление капитального строительства»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«Мероприятия, направленные на формирование земельных участков и их рыночной оценк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 - ежегодно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ачальник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управ-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ления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по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исполь-зованию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муници-пальных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земель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20.04.2025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редседатель комитета по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1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2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20.07.2025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20.10.2025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3.1.4.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01.2026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3.1.5.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8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25.02.2026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редседатель комитета по управлению муниципальной собственностью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Приложение</w:t>
      </w:r>
      <w:r>
        <w:rPr>
          <w:rFonts w:ascii="Arial" w:hAnsi="Arial" w:eastAsia="Arial" w:cs="Arial"/>
          <w:bCs/>
          <w:sz w:val="20"/>
          <w:szCs w:val="20"/>
        </w:rPr>
        <w:t xml:space="preserve"> № </w:t>
      </w:r>
      <w:r>
        <w:rPr>
          <w:rFonts w:ascii="Arial" w:hAnsi="Arial" w:eastAsia="Arial" w:cs="Arial"/>
          <w:bCs/>
          <w:sz w:val="20"/>
          <w:szCs w:val="20"/>
        </w:rPr>
        <w:t xml:space="preserve">3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к муниципальной программе </w:t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Cs/>
          <w:sz w:val="20"/>
          <w:szCs w:val="20"/>
        </w:rPr>
        <w:t xml:space="preserve">I</w:t>
      </w:r>
      <w:r>
        <w:rPr>
          <w:rFonts w:ascii="Arial" w:hAnsi="Arial" w:eastAsia="Arial" w:cs="Arial"/>
          <w:bCs/>
          <w:sz w:val="20"/>
          <w:szCs w:val="20"/>
          <w:lang w:val="en-US"/>
        </w:rPr>
        <w:t xml:space="preserve">II</w:t>
      </w:r>
      <w:r>
        <w:rPr>
          <w:rFonts w:ascii="Arial" w:hAnsi="Arial" w:eastAsia="Arial" w:cs="Arial"/>
          <w:bCs/>
          <w:sz w:val="20"/>
          <w:szCs w:val="20"/>
        </w:rPr>
        <w:t xml:space="preserve">.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Паспорт комплекса процессных мероприятий </w:t>
      </w:r>
      <w:r>
        <w:rPr>
          <w:rFonts w:ascii="Arial" w:hAnsi="Arial" w:eastAsia="Arial" w:cs="Arial"/>
          <w:sz w:val="20"/>
          <w:szCs w:val="20"/>
          <w:highlight w:val="white"/>
        </w:rPr>
        <w:t xml:space="preserve">«Обеспечение реализации муниципальной программы»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                     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bCs/>
          <w:sz w:val="20"/>
          <w:szCs w:val="20"/>
        </w:rPr>
        <w:t xml:space="preserve">(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далее - комплекс процессных мероприятий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3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)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1"/>
      </w:pPr>
      <w:r>
        <w:rPr>
          <w:rFonts w:ascii="Arial" w:hAnsi="Arial" w:eastAsia="Arial" w:cs="Arial"/>
          <w:sz w:val="20"/>
          <w:szCs w:val="20"/>
          <w:highlight w:val="white"/>
        </w:rPr>
        <w:t xml:space="preserve">1. Общие положения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1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58"/>
        <w:gridCol w:w="7669"/>
      </w:tblGrid>
      <w:tr>
        <w:tblPrEx/>
        <w:trPr>
          <w:cantSplit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Ответственное структурное подразделение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администрации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МКУ «Единая служба муниципальной недвижимости и земельных ресурсов», директор МКУ «Единая служба муниципальной недвижимости и земельных ресурсов»</w:t>
            </w:r>
            <w:r>
              <w:rPr>
                <w:rFonts w:ascii="Arial" w:hAnsi="Arial" w:eastAsia="Arial" w:cs="Arial"/>
                <w:bCs/>
                <w:i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Cs/>
                <w:i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57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Связь с муниципальной программой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669" w:type="dxa"/>
            <w:textDirection w:val="lrTb"/>
            <w:noWrap w:val="false"/>
          </w:tcPr>
          <w:p>
            <w:pPr>
              <w:pStyle w:val="623"/>
              <w:contextualSpacing/>
              <w:rPr>
                <w:rFonts w:ascii="Arial" w:hAnsi="Arial" w:cs="Arial"/>
                <w:b w:val="0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Губкинском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 w:val="0"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  <w:t xml:space="preserve">2. Перечень мероприятий (результатов) комплекса процессных мероприятий </w:t>
      </w:r>
      <w:r>
        <w:rPr>
          <w:rFonts w:ascii="Arial" w:hAnsi="Arial" w:eastAsia="Arial" w:cs="Arial"/>
          <w:sz w:val="20"/>
          <w:szCs w:val="20"/>
        </w:rPr>
        <w:t xml:space="preserve">3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/п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Наименование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Тип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Единица измерения (по </w:t>
            </w:r>
            <w:hyperlink r:id="rId42" w:tooltip="https://login.consultant.ru/link/?req=doc&amp;base=LAW&amp;n=441135" w:history="1">
              <w:r>
                <w:rPr>
                  <w:rFonts w:ascii="Arial" w:hAnsi="Arial" w:eastAsia="Arial" w:cs="Arial"/>
                  <w:b/>
                  <w:bCs/>
                  <w:color w:val="000000" w:themeColor="text1"/>
                  <w:sz w:val="20"/>
                  <w:szCs w:val="20"/>
                  <w:highlight w:val="white"/>
                </w:rPr>
                <w:t xml:space="preserve">ОКЕИ</w:t>
              </w:r>
            </w:hyperlink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Базовое значение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Связь с показателями комплекса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82"/>
        </w:trPr>
        <w:tc>
          <w:tcPr>
            <w:tcW w:w="708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2692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значе-ние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год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2027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2030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pStyle w:val="621"/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</w:tbl>
    <w:p>
      <w:pPr>
        <w:pStyle w:val="621"/>
        <w:jc w:val="both"/>
        <w:spacing w:line="1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157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3543"/>
      </w:tblGrid>
      <w:tr>
        <w:tblPrEx/>
        <w:trPr>
          <w:trHeight w:val="290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83" w:lineRule="exact"/>
              <w:tabs>
                <w:tab w:val="right" w:pos="3402" w:leader="none"/>
              </w:tabs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gridSpan w:val="12"/>
            <w:tcW w:w="15449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right" w:pos="3419" w:leader="none"/>
              </w:tabs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88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692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«Обеспечение деятельности (оказание услуг)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подведомствен-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ных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учреждений (организаций)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, в том числе предоставление муниципальным бюджетным и автономным учреждениям субсидий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Осущест-вление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текущей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Человек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152"/>
        </w:trPr>
        <w:tc>
          <w:tcPr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green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green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green"/>
              </w:rPr>
            </w:r>
          </w:p>
        </w:tc>
        <w:tc>
          <w:tcPr>
            <w:gridSpan w:val="12"/>
            <w:tcW w:w="15449" w:type="dxa"/>
            <w:textDirection w:val="lrTb"/>
            <w:noWrap w:val="false"/>
          </w:tcPr>
          <w:p>
            <w:pPr>
              <w:pStyle w:val="621"/>
              <w:ind w:firstLine="0"/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Реализация мероприятия предусматривает организацию и проведение кадастровых и землеустроительных работ на территории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городского округа Белгородской обла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pStyle w:val="31"/>
        <w:numPr>
          <w:ilvl w:val="0"/>
          <w:numId w:val="9"/>
        </w:num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Финансовое обеспечение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3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34"/>
        <w:gridCol w:w="1134"/>
        <w:gridCol w:w="1276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Объем финансового обеспечения по годам,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тыс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.р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165"/>
        <w:gridCol w:w="1134"/>
        <w:gridCol w:w="1134"/>
        <w:gridCol w:w="1134"/>
        <w:gridCol w:w="1103"/>
        <w:gridCol w:w="1165"/>
        <w:gridCol w:w="1276"/>
      </w:tblGrid>
      <w:tr>
        <w:tblPrEx/>
        <w:trPr>
          <w:trHeight w:val="35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65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0840300000</w:t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18 065,0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16 036,0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100 809,0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18 065,0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16 036,0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100 809,0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11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11.1.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 (организаций)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в том числе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предоставление муниципальным бюджетным и автономным учреждениям субсидий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всего в том числе: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85704120840320590100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  <w:t xml:space="preserve">,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85704120840320590200,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85704120840320590800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18 065,0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16 036,0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100 809,0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85704120840320590100,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85704120840320590200,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85704120840320590800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ind w:left="7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18 065,0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16 036,0</w:t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16 677,0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Cs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  <w:t xml:space="preserve">100 809,0</w:t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textDirection w:val="lrTb"/>
            <w:noWrap w:val="false"/>
          </w:tcPr>
          <w:p>
            <w:pPr>
              <w:ind w:left="17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Приложение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к паспорту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3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green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green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green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  <w:r>
        <w:rPr>
          <w:rFonts w:ascii="Arial" w:hAnsi="Arial" w:eastAsia="Arial" w:cs="Arial"/>
          <w:b/>
          <w:bCs/>
          <w:sz w:val="20"/>
          <w:szCs w:val="20"/>
          <w:highlight w:val="green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План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  <w:t xml:space="preserve">3</w:t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8049"/>
        <w:gridCol w:w="1984"/>
        <w:gridCol w:w="2126"/>
        <w:gridCol w:w="315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Задача, мероприятие (результат)/ контрольная точка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Дата наступления контрольной точки                 (день, месяц)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Ответственный исполнитель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Вид подтверждающего документа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  <w:r>
        <w:rPr>
          <w:rFonts w:ascii="Arial" w:hAnsi="Arial" w:eastAsia="Arial" w:cs="Arial"/>
          <w:b/>
          <w:bCs/>
          <w:sz w:val="20"/>
          <w:szCs w:val="20"/>
          <w:highlight w:val="white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8049"/>
        <w:gridCol w:w="1984"/>
        <w:gridCol w:w="2126"/>
        <w:gridCol w:w="315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2" w:type="dxa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  <w:t xml:space="preserve">Задача 1. «Реализация комплекса процессных мероприятий по кадастровой деятельности, землеустройству и землепользованию»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(организаций)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Мероприятие (результат) «Обеспечение деятельности (оказание услуг) подведомственных учреждений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(организаций)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- ежегодно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жегодно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1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20.04.2025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2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20.07.2025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недвижимости 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1.1.3.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20.10.2025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1.1.4.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о достижении плановых показателей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20.01.2026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1.1.5.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9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Контрольная точка «Предоставлен отчет за 2025 год»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.02.2026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иректор МКУ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Единая служба муниципальной недвижимости                и земельных ресурсов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623"/>
        <w:ind w:left="1224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Приложение</w:t>
      </w:r>
      <w:r>
        <w:rPr>
          <w:rFonts w:ascii="Arial" w:hAnsi="Arial" w:eastAsia="Arial" w:cs="Arial"/>
          <w:bCs/>
          <w:sz w:val="20"/>
          <w:szCs w:val="20"/>
        </w:rPr>
        <w:t xml:space="preserve"> № 4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         </w:t>
      </w:r>
      <w:r>
        <w:rPr>
          <w:rFonts w:ascii="Arial" w:hAnsi="Arial" w:eastAsia="Arial" w:cs="Arial"/>
          <w:bCs/>
          <w:sz w:val="20"/>
          <w:szCs w:val="20"/>
          <w:highlight w:val="white"/>
        </w:rPr>
        <w:t xml:space="preserve">     к муниципальной программе </w:t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  <w:r>
        <w:rPr>
          <w:rFonts w:ascii="Arial" w:hAnsi="Arial" w:eastAsia="Arial" w:cs="Arial"/>
          <w:bCs/>
          <w:sz w:val="20"/>
          <w:szCs w:val="20"/>
          <w:highlight w:val="white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  <w:highlight w:val="white"/>
        </w:rPr>
        <w:outlineLvl w:val="0"/>
      </w:pP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  <w:r>
        <w:rPr>
          <w:rFonts w:ascii="Arial" w:hAnsi="Arial" w:eastAsia="Arial" w:cs="Arial"/>
          <w:sz w:val="20"/>
          <w:szCs w:val="20"/>
          <w:highlight w:val="white"/>
        </w:rPr>
      </w:r>
    </w:p>
    <w:p>
      <w:pPr>
        <w:ind w:left="-709" w:right="2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lang w:val="en-US"/>
        </w:rPr>
        <w:t xml:space="preserve">IV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.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Паспорт комплекса процессных мероприятий «Реализация мероприятий по привлечению инвестиций и работе с инвесторами в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городском округе Белгородской области» (далее - комплекс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)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9"/>
        <w:ind w:left="-709" w:right="-87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  <w:t xml:space="preserve">1. Общие положения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5193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3"/>
        <w:gridCol w:w="7721"/>
      </w:tblGrid>
      <w:tr>
        <w:tblPrEx/>
        <w:trPr>
          <w:cantSplit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Ответственное структурное подразделение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7721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Управление экономики и ценовой политики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округа, начальник управления экономики                   и ценовой политики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8403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7721" w:type="dxa"/>
            <w:textDirection w:val="lrTb"/>
            <w:noWrap w:val="false"/>
          </w:tcPr>
          <w:p>
            <w:pPr>
              <w:pStyle w:val="623"/>
              <w:contextualSpacing/>
              <w:ind w:left="142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81"/>
        <w:jc w:val="center"/>
        <w:tabs>
          <w:tab w:val="left" w:pos="6510" w:leader="none"/>
        </w:tabs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2. Показатели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81"/>
        <w:jc w:val="center"/>
        <w:tabs>
          <w:tab w:val="left" w:pos="6510" w:leader="none"/>
        </w:tabs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979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Приз-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нак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воз-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раста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убы-вания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Merge w:val="restart"/>
            <w:textDirection w:val="lrTb"/>
            <w:noWrap w:val="false"/>
          </w:tcPr>
          <w:p>
            <w:pPr>
              <w:ind w:right="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-венный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за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дости-жение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9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</w:tbl>
    <w:p>
      <w:pPr>
        <w:jc w:val="center"/>
        <w:rPr>
          <w:rFonts w:ascii="Arial" w:hAnsi="Arial" w:cs="Arial"/>
          <w:b/>
          <w:bCs/>
          <w:sz w:val="2"/>
          <w:szCs w:val="2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708"/>
        <w:gridCol w:w="992"/>
        <w:gridCol w:w="992"/>
        <w:gridCol w:w="992"/>
        <w:gridCol w:w="992"/>
        <w:gridCol w:w="992"/>
        <w:gridCol w:w="993"/>
        <w:gridCol w:w="1979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11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инвесторов, привлеченных 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реализа-ции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новых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инвестици-онных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проектов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инвести-ций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развития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проведенных консультаций инвесторов в рамках сопровождения (решения вопросов при реализации проектов, содействие в получении мер государственной и региональной поддержки)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инвести-ций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 привлеченных инвестиций в результате реализации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инвестицион-ных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проектов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Млн. рублей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3103,5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3134,5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3291,2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3620,3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4163,3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4995,9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6244,8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инвести-ций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ind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31"/>
        <w:numPr>
          <w:ilvl w:val="0"/>
          <w:numId w:val="8"/>
        </w:numPr>
        <w:ind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Помесячный план достижения показателей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в 2025 году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738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-рения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50" w:type="dxa"/>
            <w:textDirection w:val="lrTb"/>
            <w:noWrap w:val="false"/>
          </w:tcPr>
          <w:p>
            <w:pPr>
              <w:ind w:right="28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28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ind w:left="113" w:right="113"/>
              <w:tabs>
                <w:tab w:val="left" w:pos="709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 конец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             2025 года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ind w:right="-879"/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710"/>
        <w:gridCol w:w="990"/>
        <w:gridCol w:w="850"/>
        <w:gridCol w:w="850"/>
        <w:gridCol w:w="995"/>
        <w:gridCol w:w="705"/>
        <w:gridCol w:w="812"/>
        <w:gridCol w:w="1738"/>
      </w:tblGrid>
      <w:tr>
        <w:tblPrEx/>
        <w:trPr>
          <w:trHeight w:val="28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2" w:type="dxa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инвесто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-ров,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привлеченных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к реализации новых ин-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вестиционных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проек-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проведен-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консультаций ин-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весторов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 рамках сопровождения (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реше-ния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вопросов при реализации проектов, содействие в получении мер государственной и региональной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поддерж-ки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 привлеченных инвестиций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резуль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-тате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реализации ин-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вестиционных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проек-тов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Млн. рублей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783,6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1567,2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2350,8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3134,5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</w:tr>
    </w:tbl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-709" w:right="-881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  <w:t xml:space="preserve">4. Перечень мероприятий (результатов) комплекса процессных мероприятий </w:t>
      </w:r>
      <w:r>
        <w:rPr>
          <w:rFonts w:ascii="Arial" w:hAnsi="Arial" w:eastAsia="Arial" w:cs="Arial"/>
          <w:sz w:val="20"/>
          <w:szCs w:val="20"/>
        </w:rPr>
        <w:t xml:space="preserve">4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815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4201"/>
      </w:tblGrid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43" w:tooltip="https://login.consultant.ru/link/?req=doc&amp;base=LAW&amp;n=441135" w:history="1">
              <w:r>
                <w:rPr>
                  <w:rFonts w:ascii="Arial" w:hAnsi="Arial" w:eastAsia="Arial" w:cs="Arial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28"/>
        </w:trPr>
        <w:tc>
          <w:tcPr>
            <w:tcW w:w="709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</w:tr>
    </w:tbl>
    <w:p>
      <w:pPr>
        <w:pStyle w:val="621"/>
        <w:jc w:val="both"/>
        <w:spacing w:line="1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815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2692"/>
        <w:gridCol w:w="1701"/>
        <w:gridCol w:w="1417"/>
        <w:gridCol w:w="992"/>
        <w:gridCol w:w="851"/>
        <w:gridCol w:w="709"/>
        <w:gridCol w:w="709"/>
        <w:gridCol w:w="707"/>
        <w:gridCol w:w="709"/>
        <w:gridCol w:w="710"/>
        <w:gridCol w:w="709"/>
        <w:gridCol w:w="4201"/>
      </w:tblGrid>
      <w:tr>
        <w:tblPrEx/>
        <w:trPr>
          <w:trHeight w:val="203"/>
          <w:tblHeader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42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87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6107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1587"/>
        </w:trPr>
        <w:tc>
          <w:tcPr>
            <w:tcW w:w="70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2692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 городского округа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Оказание услуг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7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4201" w:type="dxa"/>
            <w:textDirection w:val="lrTb"/>
            <w:noWrap w:val="false"/>
          </w:tcPr>
          <w:p>
            <w:pPr>
              <w:pStyle w:val="31"/>
              <w:numPr>
                <w:ilvl w:val="0"/>
                <w:numId w:val="6"/>
              </w:numPr>
              <w:ind w:left="14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инвесторов, привлеченных к реализации новых инвестиционных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проек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-тов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6"/>
              </w:numPr>
              <w:ind w:left="142" w:firstLine="0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проведенных консультаций инвесторов в рамках сопровождения (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реше-ния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вопросов при реализации проектов, содействие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получе-нии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мер государственной и региональной поддержки).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pStyle w:val="31"/>
              <w:numPr>
                <w:ilvl w:val="0"/>
                <w:numId w:val="6"/>
              </w:numPr>
              <w:ind w:left="142" w:firstLine="0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 привлеченных инвестиций в результате реализации инвестиционных проектов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12"/>
            <w:tcW w:w="16107" w:type="dxa"/>
            <w:vMerge w:val="restart"/>
            <w:textDirection w:val="lrTb"/>
            <w:noWrap w:val="false"/>
          </w:tcPr>
          <w:p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Организованы мероприятия информационного характера, включающие публикацию статей о субъектах МСП в СМИ, размещение информационных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банеров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5. Финансовое обеспечение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86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727"/>
      </w:tblGrid>
      <w:tr>
        <w:tblPrEx/>
        <w:trPr>
          <w:trHeight w:val="53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Объем финансового обеспечения по годам,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тыс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4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"/>
          <w:szCs w:val="2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86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727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0840400000</w:t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en-US"/>
              </w:rPr>
              <w:t xml:space="preserve">Мероприятия по привлечению инвестиций                         в экономику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eastAsia="en-US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85004120840429330200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85004120840429330200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7" w:type="dxa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  <w:r>
        <w:rPr>
          <w:rFonts w:ascii="Arial" w:hAnsi="Arial" w:eastAsia="Arial" w:cs="Arial"/>
          <w:b/>
          <w:bCs/>
          <w:sz w:val="20"/>
          <w:szCs w:val="20"/>
          <w:lang w:val="en-US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Приложение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-879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к паспорту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План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4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5527"/>
        <w:gridCol w:w="2409"/>
        <w:gridCol w:w="4217"/>
        <w:gridCol w:w="315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Задача, мероприятие (результат)/ контрольная точка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Дата наступления контрольной точки                 (день, месяц)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ind w:left="142" w:right="110"/>
              <w:jc w:val="both"/>
              <w:spacing w:line="259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1. Формирование благоприятных условий для привлечения инвестиций в экономику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 городского округа Белгородской области»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Мероприятие (результат) «Мероприятия                           по привлечению инвестиций в экономику 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 городского округа Белгородской области» - ежегодно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                         за 1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10.04.2025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                            за 2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10.07.2025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1.1.3.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                           за 3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10.10.2025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1.1.4.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о достижении плановых показателей                            за 4 квартал 2025 года»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20.01.2026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1.1.5.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both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«Предоставлен отчет                               за 2025 год»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25.02.2026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1080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Приложение №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5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к муниципальной программе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lang w:val="en-US"/>
        </w:rPr>
        <w:t xml:space="preserve">V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. Паспорт комплекса процессных мероприятий «Элементы устойчивого развития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малого и среднего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предпринимтельства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в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Губкинском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городском округе Белгородской области»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(далее - комплекс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)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19"/>
        <w:ind w:right="-87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  <w:t xml:space="preserve">1. Общие положения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5194" w:type="pct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02"/>
        <w:gridCol w:w="8425"/>
      </w:tblGrid>
      <w:tr>
        <w:tblPrEx/>
        <w:trPr>
          <w:cantSplit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Ответственное структурное подразделение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8424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Управление экономики и ценовой политики администрации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округа, начальник управления экономики и ценовой политики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cantSplit/>
          <w:trHeight w:val="557"/>
        </w:trPr>
        <w:tc>
          <w:tcPr>
            <w:shd w:val="clear" w:color="ffffff" w:fill="ffffff"/>
            <w:tcW w:w="7702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shd w:val="clear" w:color="ffffff" w:fill="ffffff"/>
            <w:tcW w:w="8424" w:type="dxa"/>
            <w:textDirection w:val="lrTb"/>
            <w:noWrap w:val="false"/>
          </w:tcPr>
          <w:p>
            <w:pPr>
              <w:pStyle w:val="623"/>
              <w:contextualSpacing/>
              <w:ind w:left="142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Губкинском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  <w:t xml:space="preserve"> городском округе Белгородской области</w:t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</w:r>
            <w:r>
              <w:rPr>
                <w:rFonts w:ascii="Arial" w:hAnsi="Arial" w:eastAsia="Arial" w:cs="Arial"/>
                <w:b w:val="0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81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2. Показатели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rHeight w:val="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Приз-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нак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воз-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раста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убы-вания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-венный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за достижение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993"/>
        <w:gridCol w:w="992"/>
        <w:gridCol w:w="1134"/>
        <w:gridCol w:w="992"/>
        <w:gridCol w:w="851"/>
        <w:gridCol w:w="992"/>
        <w:gridCol w:w="992"/>
        <w:gridCol w:w="849"/>
        <w:gridCol w:w="850"/>
        <w:gridCol w:w="850"/>
        <w:gridCol w:w="852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 Популяризация предпринимательской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показателей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инвестиций            и развития малого бизнеса, отдел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потребитель-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рынка 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8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информацион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-но-консультационных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об-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разовательных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услуг в офлайн формате гражданам, желающим вести бизнес, начинающим и действу-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ющим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предпринимателям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351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353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инвестиций            и развития малого бизнеса, отдел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потребитель-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рынка  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3. Помесячный план достижения показателей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в 2025 году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Уро-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вень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-рения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 конец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              2025 года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>
        <w:tblPrEx/>
        <w:trPr>
          <w:trHeight w:val="32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 Популяризация предпринимательской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размещенных статей о предпринимателях – победителях конкурсов, добившихся наилучших финансово-экономических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показателей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информа-ционно-консультацион-ных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образовательных услуг в офлайн формате гражданам, желающим вести бизнес,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начинаю-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действующим предпринимателям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КПМ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69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96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163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191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219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250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278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343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pStyle w:val="623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ind w:left="-709"/>
        <w:jc w:val="center"/>
        <w:rPr>
          <w:rFonts w:ascii="Arial" w:hAnsi="Arial" w:cs="Arial"/>
          <w:sz w:val="24"/>
          <w:szCs w:val="24"/>
        </w:rPr>
        <w:outlineLvl w:val="2"/>
      </w:pPr>
      <w:r>
        <w:rPr>
          <w:rFonts w:ascii="Arial" w:hAnsi="Arial" w:eastAsia="Arial" w:cs="Arial"/>
          <w:sz w:val="20"/>
          <w:szCs w:val="20"/>
        </w:rPr>
        <w:t xml:space="preserve">4. Перечень мероприятий (результатов) комплекса процессных мероприятий </w:t>
      </w:r>
      <w:r>
        <w:rPr>
          <w:rFonts w:ascii="Arial" w:hAnsi="Arial" w:eastAsia="Arial" w:cs="Arial"/>
          <w:sz w:val="20"/>
          <w:szCs w:val="20"/>
        </w:rPr>
        <w:t xml:space="preserve">5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/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Единица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</w:t>
            </w:r>
            <w:hyperlink r:id="rId44" w:tooltip="https://login.consultant.ru/link/?req=doc&amp;base=LAW&amp;n=441135" w:history="1">
              <w:r>
                <w:rPr>
                  <w:rFonts w:ascii="Arial" w:hAnsi="Arial" w:eastAsia="Arial" w:cs="Arial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6"/>
            <w:tcW w:w="4253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39"/>
        </w:trPr>
        <w:tc>
          <w:tcPr>
            <w:tcW w:w="588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3238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значе-ние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400" w:type="dxa"/>
            <w:vMerge w:val="continue"/>
            <w:textDirection w:val="lrTb"/>
            <w:noWrap w:val="false"/>
          </w:tcPr>
          <w:p>
            <w:pPr>
              <w:pStyle w:val="621"/>
            </w:pPr>
            <w:r/>
            <w:r/>
            <w:r/>
          </w:p>
        </w:tc>
      </w:tr>
    </w:tbl>
    <w:p>
      <w:pPr>
        <w:pStyle w:val="621"/>
        <w:jc w:val="both"/>
        <w:spacing w:line="1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tbl>
      <w:tblPr>
        <w:tblW w:w="16158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88"/>
        <w:gridCol w:w="3238"/>
        <w:gridCol w:w="1701"/>
        <w:gridCol w:w="1276"/>
        <w:gridCol w:w="992"/>
        <w:gridCol w:w="709"/>
        <w:gridCol w:w="709"/>
        <w:gridCol w:w="709"/>
        <w:gridCol w:w="709"/>
        <w:gridCol w:w="709"/>
        <w:gridCol w:w="709"/>
        <w:gridCol w:w="709"/>
        <w:gridCol w:w="3400"/>
      </w:tblGrid>
      <w:tr>
        <w:tblPrEx/>
        <w:trPr>
          <w:trHeight w:val="54"/>
          <w:tblHeader/>
        </w:trPr>
        <w:tc>
          <w:tcPr>
            <w:tcW w:w="58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 Популяризация предпринимательской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7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238" w:type="dxa"/>
            <w:vMerge w:val="restart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Оказание услуг (выполнение работ)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ind w:right="1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40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размещенных статей о предпринимателях – победителях конкурсов,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добив-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шихся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наилучших финансово-экономических показателей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668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12"/>
            <w:tcW w:w="15570" w:type="dxa"/>
            <w:vAlign w:val="center"/>
            <w:vMerge w:val="restart"/>
            <w:textDirection w:val="lrTb"/>
            <w:noWrap w:val="false"/>
          </w:tcPr>
          <w:p>
            <w:pPr>
              <w:tabs>
                <w:tab w:val="left" w:pos="709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Реализация мероприятий будет содействовать развитию малого и среднего предпринимательства на территории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области, формированию позитивного отношения населения к предпринимательской деятельности, в первую очередь среди молодежи, популяризация и распространение передового опыта предпринимательской деятельности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ind w:left="142" w:right="119"/>
              <w:jc w:val="both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Задача 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880"/>
        </w:trPr>
        <w:tc>
          <w:tcPr>
            <w:tcW w:w="588" w:type="dxa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238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 xml:space="preserve">Мероприятие (результат)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«Информационно-образовательная подготовка жителей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город-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округа к ведению предпринимательской деятельности»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Оказание услуг (выполнение работ)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2023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21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W w:w="3400" w:type="dxa"/>
            <w:textDirection w:val="lrTb"/>
            <w:noWrap w:val="false"/>
          </w:tcPr>
          <w:p>
            <w:pPr>
              <w:ind w:right="119"/>
              <w:jc w:val="both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информационно-консультационных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образо-вательных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услуг в офлайн формате гражданам, желаю-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вести бизнес, начинаю-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щим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 действующим предпринимателям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707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62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gridSpan w:val="12"/>
            <w:tcW w:w="1557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42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Инфраструктурой поддерж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ки субъектов МСП, иными организациями, оказывающими информационно-консультационные услуги субъектам МСП и гражданам, желающим осуществлять предпринимательскую деятельность, начинающим и действующим предпринимателям оказаны различные услуги в офлайн формате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5. Финансовое обеспечение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мероприятия (результата)/источник финансового обеспечения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Объем финансового обеспечения по годам,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тыс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.р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1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5778"/>
        <w:gridCol w:w="2694"/>
        <w:gridCol w:w="992"/>
        <w:gridCol w:w="992"/>
        <w:gridCol w:w="992"/>
        <w:gridCol w:w="993"/>
        <w:gridCol w:w="992"/>
        <w:gridCol w:w="992"/>
        <w:gridCol w:w="1024"/>
      </w:tblGrid>
      <w:tr>
        <w:tblPrEx/>
        <w:trPr>
          <w:trHeight w:val="30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Комплекс процессных мероприятий (всего),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0840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00000</w:t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456,0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12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114,0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456,0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Мероприятия, направленные на повышение уровня профессионального мастерства, всего в том числе: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85004120840529290200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85004120840529290200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84,0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336,0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1.2.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spacing w:after="176"/>
              <w:tabs>
                <w:tab w:val="left" w:pos="283" w:leader="none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Информационно-образовательная подготовка жителей 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 городского округа к ведению предпринимательской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всего в том числе: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85004120840529300200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120,0</w:t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бюджет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85004120840529300200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30,0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120,0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областной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федеральный бюджет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621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142"/>
              <w:tabs>
                <w:tab w:val="left" w:pos="283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иные источники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0,0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right="-879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Приложение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8640" w:firstLine="720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к паспорту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  <w:lang w:val="en-US"/>
        </w:rPr>
        <w:t xml:space="preserve">V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.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План реализации комплекса процессных мероприятий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5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5" w:type="dxa"/>
        <w:tblInd w:w="-7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6"/>
        <w:gridCol w:w="1984"/>
        <w:gridCol w:w="4394"/>
        <w:gridCol w:w="2690"/>
      </w:tblGrid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/п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Задача, мероприятие (результат)/ контрольная точка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Дата наступления контрольной точки                 (день, месяц)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jc w:val="center"/>
        <w:spacing w:line="14" w:lineRule="auto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5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6236"/>
        <w:gridCol w:w="1984"/>
        <w:gridCol w:w="4394"/>
        <w:gridCol w:w="269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4" w:type="dxa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адача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1. Популяризация предпринимательской деятельности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«Мероприятия, направленные на повышение уровня профессионального мастерства»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17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317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10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«Мероприятия, направленные на повышение уровня профессионального мастерства» - 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ind w:right="317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317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1.1.1.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«Объявлен конкурсный отбор «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предприниматель»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31.05.2025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Постановление                     о муниципальном конкурсе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«Определены победители и подготовлен протокол»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31.05.2025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Протокол заседания конкурсной комиссии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1.1.3.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«Объявлен конкурсный отбор в сфере торговли»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     01.12.2025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Постановление                     о муниципальном конкурсе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1.1.4.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«Определены победители и подготовлен протокол»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right="317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     25.12.2025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Протокол заседания конкурсной комиссии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1.1.5.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«Объявлен конкурсный отбор в сфере общественного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питания»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     01.12.2025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Постановление                     о муниципальном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конкурсе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1.1.6.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Merge w:val="restart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«Определены победители и подготовлен протокол»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right="317"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     25.12.2025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потребительского рынка и бытовых услуг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Протокол заседания конкурсной комиссии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4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4" w:type="dxa"/>
            <w:vAlign w:val="center"/>
            <w:textDirection w:val="lrTb"/>
            <w:noWrap w:val="false"/>
          </w:tcPr>
          <w:p>
            <w:pPr>
              <w:ind w:left="142"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город-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округа к ведению предпринимательской деятельности»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Мероприятие (результат) «Информационно-образовательная подготовка жителей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Губкинского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город-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ского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округа к ведению предпринимательской деятельности» - ежегодно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2.1.1.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«Заключен контракт на оказание образовательных услуг»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15.11.2025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Контракт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2.1.2.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Контрольная точка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right="119"/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«Образовательные услуги оказаны»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01.12.2025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Начальник отдела инвестиций и развития малого бизнеса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ind w:left="-567"/>
        <w:spacing w:line="283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6"/>
          <w:szCs w:val="26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6"/>
          <w:szCs w:val="26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6"/>
          <w:szCs w:val="26"/>
        </w:rPr>
        <w:outlineLvl w:val="0"/>
      </w:pP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pStyle w:val="623"/>
        <w:jc w:val="center"/>
        <w:rPr>
          <w:rFonts w:ascii="Arial" w:hAnsi="Arial" w:cs="Arial"/>
          <w:sz w:val="24"/>
          <w:szCs w:val="24"/>
        </w:rPr>
        <w:outlineLvl w:val="0"/>
      </w:pPr>
      <w:r>
        <w:rPr>
          <w:rFonts w:ascii="Arial" w:hAnsi="Arial" w:eastAsia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sz w:val="20"/>
          <w:szCs w:val="20"/>
        </w:rPr>
      </w:r>
      <w:r>
        <w:rPr>
          <w:rFonts w:ascii="Arial" w:hAnsi="Arial" w:eastAsia="Arial" w:cs="Arial"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</w:t>
      </w:r>
      <w:bookmarkStart w:id="0" w:name="undefined"/>
      <w:r>
        <w:rPr>
          <w:rFonts w:ascii="Arial" w:hAnsi="Arial" w:eastAsia="Arial" w:cs="Arial"/>
          <w:sz w:val="20"/>
          <w:szCs w:val="20"/>
        </w:rPr>
      </w:r>
      <w:bookmarkEnd w:id="0"/>
      <w:r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Приложение № 6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                            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к муниципальной программе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Сведения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о порядке сбора информации и методике расчета показателя муниципальной программы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  <w:t xml:space="preserve">Губкинского</w:t>
      </w:r>
      <w:r>
        <w:rPr>
          <w:rFonts w:ascii="Arial" w:hAnsi="Arial" w:eastAsia="Arial" w:cs="Arial"/>
          <w:b/>
          <w:bCs/>
          <w:sz w:val="20"/>
          <w:szCs w:val="20"/>
        </w:rPr>
        <w:t xml:space="preserve"> городского округа Белгородской области</w:t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p>
      <w:pPr>
        <w:ind w:left="-709" w:right="-879"/>
        <w:jc w:val="center"/>
        <w:rPr>
          <w:rFonts w:ascii="Arial" w:hAnsi="Arial" w:cs="Arial"/>
          <w:b/>
          <w:bCs/>
          <w:sz w:val="24"/>
          <w:szCs w:val="24"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пп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Едини-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ца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измере-ния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(по ОКЕИ)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Опреде-ление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Вре-менные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харак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терис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-тики показа-теля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Алгоритм (формула) и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методо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-логические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пояснения к показа-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телю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Базовые показатели (используемые в формуле)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Метод сбора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инфор-мации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, индекс формы отчет-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ности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Пункт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Федераль-ного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плана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статисти-ческих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Ответст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-венный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за сбор данных по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показате-лю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Рекви-зиты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акта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Срок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предостав-ления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годовой отчетности информации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</w:tbl>
    <w:p>
      <w:pPr>
        <w:ind w:left="-709" w:right="-879"/>
        <w:jc w:val="center"/>
        <w:spacing w:line="14" w:lineRule="auto"/>
        <w:rPr>
          <w:rFonts w:ascii="Arial" w:hAnsi="Arial" w:cs="Arial"/>
          <w:b/>
          <w:bCs/>
        </w:rPr>
        <w:outlineLvl w:val="0"/>
      </w:pP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  <w:r>
        <w:rPr>
          <w:rFonts w:ascii="Arial" w:hAnsi="Arial" w:eastAsia="Arial" w:cs="Arial"/>
          <w:b/>
          <w:bCs/>
          <w:sz w:val="20"/>
          <w:szCs w:val="20"/>
        </w:rPr>
      </w:r>
    </w:p>
    <w:tbl>
      <w:tblPr>
        <w:tblStyle w:val="48"/>
        <w:tblW w:w="161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         на 1 рабочий день и более и со смертельным исходом в расчете на 1 тыс. работающих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both"/>
              <w:tabs>
                <w:tab w:val="left" w:pos="1984" w:leader="none"/>
              </w:tabs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Единиц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постра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-давших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резуль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-тате несчастных случаев на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произ-водстве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-вар-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тально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60"/>
              <w:jc w:val="center"/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Чп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Чпс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/ (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Чраб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/ 1000)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Чп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- Численность пострадавших,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человек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Чпс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- численность пострадавших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всего, человек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Чраб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- численность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работающих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ind w:left="60"/>
              <w:jc w:val="center"/>
              <w:spacing w:line="17" w:lineRule="atLeast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человек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Отдел по труду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 числа месяца, следующего за отчетным кварталом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Неналоговые доходы от использования объектов муниципальной собственности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Тысяч рублей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Неналого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-вые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доходы от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исполь-зования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объектов муниципальной собственности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квар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тально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нд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= ∑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азу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+ ∑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аим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+ ∑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пзу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+ ∑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пим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нд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 –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сумма неналоговых дох,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получ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использ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объектов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мун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собств. 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зем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уч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-ков, 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гос.собств.на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которые не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разгра-ничена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азу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 - сумма неналоговых дох., полученных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от передачи в аренду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зем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.у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-ков, 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мун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собств. 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зем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уч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-ков, гос.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собст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на кот. не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разгранич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аим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- сумма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ненал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 доходов,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получ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пере-дачи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аренду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мун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имущества,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  <w:vertAlign w:val="subscript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пзу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- сумма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ненал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 дох.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получ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от продажи 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зем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.у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-ков, 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мун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собст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..и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зем.уч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-ков, гос.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собствен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-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ность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на кот. разграничена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,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</w:r>
          </w:p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∑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  <w:vertAlign w:val="subscript"/>
              </w:rPr>
              <w:t xml:space="preserve">пим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 - сумма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ненал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 дох., 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получ</w:t>
            </w: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о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highlight w:val="white"/>
              </w:rPr>
              <w:t xml:space="preserve"> продажи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аренду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мун.имущ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ества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муници-пальной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 числа месяца, следующего за отчетным кварталом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50 га в год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га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Земель-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ные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участки – объекты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налооб-ложения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-вар-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тально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S=S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+ 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n+1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+ 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n+2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+ 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n+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  <w:outlineLvl w:val="0"/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– сумма площадей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зем.уч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-ков,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вовлеч.в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оборот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</w:rPr>
              <w:t xml:space="preserve"> ,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</w:rPr>
              <w:t xml:space="preserve">+1,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:vertAlign w:val="subscript"/>
              </w:rPr>
              <w:t xml:space="preserve">+…–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площадь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вовлеч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зем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уч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-ков в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отч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периоде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омитет по управлению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муници-пальной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собствен-ностью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 числа месяца, следующего за отчетным кварталом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4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Темп роста  объема инвестиций субъектов МСП в основной капитал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процент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Показы-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вает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совокуп-ность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затрат, которые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приво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дят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к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увеличе-нию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их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первона-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чальной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стоимости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vertAlign w:val="subscript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V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ч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n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V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чn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 –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объем инвестиций в основной капитал к объему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инвес-тиций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преды-дущего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года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2.1.17.Формы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стат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тчетности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№ П-2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Росстат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15 апреля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5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Оборот субъектов МСП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Млрд. рублей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Стои-мость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отгруже-нных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товаров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собствен-ного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произ-водства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          а также выручка от продажи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приобре-тенных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на стороне товаров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Ежегод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Статис-тическая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инфор-мация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Росстат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До  1 июня года, следующего за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отчетным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.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1984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самозанятых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Человек 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Количес-тво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занятых 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инди-видуаль-ных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пред-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принима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телей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включая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самоза-нятых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и 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юридичес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-ких лиц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Ежек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-вар-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тально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Чз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=(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Чюр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+ Чип+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ИП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мсп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+ НПД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Чз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- численность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занятых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в сфере МСП,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Чюр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численность работающих  у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юр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.л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иц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Чип - численность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работающих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у ИП,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ИП</w:t>
            </w:r>
            <w:r>
              <w:rPr>
                <w:rFonts w:ascii="Arial" w:hAnsi="Arial" w:eastAsia="Arial" w:cs="Arial"/>
                <w:sz w:val="20"/>
                <w:szCs w:val="20"/>
                <w:vertAlign w:val="subscript"/>
              </w:rPr>
              <w:t xml:space="preserve">мсп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– численность ИП, 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НПД – численность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самозанятых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налого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-плательщиков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налога на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профессио-нальный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доход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Статис-тическая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инфор-мация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  <w:outlineLvl w:val="0"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Росстат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-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10 числа месяца, следующего за отчетным кварталом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>
      <w:pPr>
        <w:pStyle w:val="623"/>
        <w:jc w:val="center"/>
        <w:rPr>
          <w:rFonts w:ascii="Arial" w:hAnsi="Arial" w:cs="Arial"/>
          <w:bCs/>
          <w:sz w:val="24"/>
          <w:szCs w:val="24"/>
          <w:highlight w:val="yellow"/>
        </w:rPr>
        <w:outlineLvl w:val="0"/>
      </w:pPr>
      <w:r>
        <w:rPr>
          <w:rFonts w:ascii="Arial" w:hAnsi="Arial" w:eastAsia="Arial" w:cs="Arial"/>
          <w:sz w:val="20"/>
          <w:szCs w:val="20"/>
        </w:rPr>
        <w:t xml:space="preserve">  </w:t>
      </w:r>
      <w:r>
        <w:rPr>
          <w:rFonts w:ascii="Arial" w:hAnsi="Arial" w:eastAsia="Arial" w:cs="Arial"/>
          <w:bCs/>
          <w:sz w:val="20"/>
          <w:szCs w:val="20"/>
          <w:highlight w:val="yellow"/>
        </w:rPr>
      </w:r>
      <w:r>
        <w:rPr>
          <w:rFonts w:ascii="Arial" w:hAnsi="Arial" w:eastAsia="Arial" w:cs="Arial"/>
          <w:bCs/>
          <w:sz w:val="20"/>
          <w:szCs w:val="20"/>
          <w:highlight w:val="yellow"/>
        </w:rPr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sectPr>
      <w:footnotePr/>
      <w:endnotePr/>
      <w:type w:val="nextPage"/>
      <w:pgSz w:w="16838" w:h="11905" w:orient="landscape"/>
      <w:pgMar w:top="1701" w:right="397" w:bottom="850" w:left="397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9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622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623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624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625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626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627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628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629">
    <w:name w:val="Balloon Text"/>
    <w:basedOn w:val="617"/>
    <w:link w:val="63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0" w:customStyle="1">
    <w:name w:val="Текст выноски Знак"/>
    <w:basedOn w:val="618"/>
    <w:link w:val="629"/>
    <w:uiPriority w:val="99"/>
    <w:semiHidden/>
    <w:rPr>
      <w:rFonts w:ascii="Tahoma" w:hAnsi="Tahoma" w:cs="Tahoma"/>
      <w:sz w:val="16"/>
      <w:szCs w:val="16"/>
    </w:rPr>
  </w:style>
  <w:style w:type="paragraph" w:styleId="1_668" w:customStyle="1">
    <w:name w:val="Normal (Web)"/>
    <w:basedOn w:val="799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670" w:customStyle="1">
    <w:name w:val="Заголовок 11"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32"/>
      <w:szCs w:val="3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671" w:customStyle="1">
    <w:name w:val="Body Text Indent 21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503620" TargetMode="External"/><Relationship Id="rId11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hyperlink" Target="https://login.consultant.ru/link/?req=doc&amp;base=LAW&amp;n=481359" TargetMode="External"/><Relationship Id="rId13" Type="http://schemas.openxmlformats.org/officeDocument/2006/relationships/hyperlink" Target="https://login.consultant.ru/link/?req=doc&amp;base=RLAW404&amp;n=104166" TargetMode="External"/><Relationship Id="rId14" Type="http://schemas.openxmlformats.org/officeDocument/2006/relationships/hyperlink" Target="https://login.consultant.ru/link/?req=doc&amp;base=RLAW404&amp;n=102793" TargetMode="External"/><Relationship Id="rId15" Type="http://schemas.openxmlformats.org/officeDocument/2006/relationships/hyperlink" Target="https://login.consultant.ru/link/?req=doc&amp;base=RLAW404&amp;n=102585" TargetMode="External"/><Relationship Id="rId16" Type="http://schemas.openxmlformats.org/officeDocument/2006/relationships/hyperlink" Target="https://login.consultant.ru/link/?req=doc&amp;base=RLAW404&amp;n=103178" TargetMode="External"/><Relationship Id="rId17" Type="http://schemas.openxmlformats.org/officeDocument/2006/relationships/hyperlink" Target="https://login.consultant.ru/link/?req=doc&amp;base=RLAW404&amp;n=104045" TargetMode="External"/><Relationship Id="rId18" Type="http://schemas.openxmlformats.org/officeDocument/2006/relationships/hyperlink" Target="https://login.consultant.ru/link/?req=doc&amp;base=RLAW404&amp;n=39295" TargetMode="External"/><Relationship Id="rId19" Type="http://schemas.openxmlformats.org/officeDocument/2006/relationships/hyperlink" Target="https://login.consultant.ru/link/?req=doc&amp;base=RLAW404&amp;n=40509" TargetMode="External"/><Relationship Id="rId20" Type="http://schemas.openxmlformats.org/officeDocument/2006/relationships/hyperlink" Target="https://login.consultant.ru/link/?req=doc&amp;base=RLAW404&amp;n=43924" TargetMode="External"/><Relationship Id="rId21" Type="http://schemas.openxmlformats.org/officeDocument/2006/relationships/hyperlink" Target="https://login.consultant.ru/link/?req=doc&amp;base=RLAW404&amp;n=50780" TargetMode="External"/><Relationship Id="rId22" Type="http://schemas.openxmlformats.org/officeDocument/2006/relationships/hyperlink" Target="https://login.consultant.ru/link/?req=doc&amp;base=RLAW404&amp;n=55368" TargetMode="External"/><Relationship Id="rId23" Type="http://schemas.openxmlformats.org/officeDocument/2006/relationships/hyperlink" Target="https://login.consultant.ru/link/?req=doc&amp;base=RLAW404&amp;n=61824" TargetMode="External"/><Relationship Id="rId24" Type="http://schemas.openxmlformats.org/officeDocument/2006/relationships/hyperlink" Target="https://login.consultant.ru/link/?req=doc&amp;base=RLAW404&amp;n=62587" TargetMode="External"/><Relationship Id="rId25" Type="http://schemas.openxmlformats.org/officeDocument/2006/relationships/hyperlink" Target="https://login.consultant.ru/link/?req=doc&amp;base=RLAW404&amp;n=64385" TargetMode="External"/><Relationship Id="rId26" Type="http://schemas.openxmlformats.org/officeDocument/2006/relationships/hyperlink" Target="https://login.consultant.ru/link/?req=doc&amp;base=RLAW404&amp;n=67513" TargetMode="External"/><Relationship Id="rId27" Type="http://schemas.openxmlformats.org/officeDocument/2006/relationships/hyperlink" Target="https://login.consultant.ru/link/?req=doc&amp;base=RLAW404&amp;n=70779" TargetMode="External"/><Relationship Id="rId28" Type="http://schemas.openxmlformats.org/officeDocument/2006/relationships/hyperlink" Target="https://login.consultant.ru/link/?req=doc&amp;base=RLAW404&amp;n=73136" TargetMode="External"/><Relationship Id="rId29" Type="http://schemas.openxmlformats.org/officeDocument/2006/relationships/hyperlink" Target="https://login.consultant.ru/link/?req=doc&amp;base=RLAW404&amp;n=77663" TargetMode="External"/><Relationship Id="rId30" Type="http://schemas.openxmlformats.org/officeDocument/2006/relationships/hyperlink" Target="https://login.consultant.ru/link/?req=doc&amp;base=RLAW404&amp;n=79977" TargetMode="External"/><Relationship Id="rId31" Type="http://schemas.openxmlformats.org/officeDocument/2006/relationships/hyperlink" Target="https://login.consultant.ru/link/?req=doc&amp;base=RLAW404&amp;n=80996" TargetMode="External"/><Relationship Id="rId32" Type="http://schemas.openxmlformats.org/officeDocument/2006/relationships/hyperlink" Target="https://login.consultant.ru/link/?req=doc&amp;base=RLAW404&amp;n=82556" TargetMode="External"/><Relationship Id="rId33" Type="http://schemas.openxmlformats.org/officeDocument/2006/relationships/hyperlink" Target="https://login.consultant.ru/link/?req=doc&amp;base=RLAW404&amp;n=84746" TargetMode="External"/><Relationship Id="rId34" Type="http://schemas.openxmlformats.org/officeDocument/2006/relationships/hyperlink" Target="https://login.consultant.ru/link/?req=doc&amp;base=RLAW404&amp;n=94049" TargetMode="External"/><Relationship Id="rId35" Type="http://schemas.openxmlformats.org/officeDocument/2006/relationships/hyperlink" Target="https://login.consultant.ru/link/?req=doc&amp;base=RLAW404&amp;n=95519" TargetMode="External"/><Relationship Id="rId36" Type="http://schemas.openxmlformats.org/officeDocument/2006/relationships/hyperlink" Target="https://login.consultant.ru/link/?req=doc&amp;base=RLAW404&amp;n=95582" TargetMode="External"/><Relationship Id="rId37" Type="http://schemas.openxmlformats.org/officeDocument/2006/relationships/hyperlink" Target="https://login.consultant.ru/link/?req=doc&amp;base=RLAW404&amp;n=100402" TargetMode="External"/><Relationship Id="rId38" Type="http://schemas.openxmlformats.org/officeDocument/2006/relationships/hyperlink" Target="https://login.consultant.ru/link/?req=doc&amp;base=RLAW404&amp;n=100877" TargetMode="External"/><Relationship Id="rId39" Type="http://schemas.openxmlformats.org/officeDocument/2006/relationships/hyperlink" Target="https://login.consultant.ru/link/?req=doc&amp;base=LAW&amp;n=411214" TargetMode="External"/><Relationship Id="rId40" Type="http://schemas.openxmlformats.org/officeDocument/2006/relationships/hyperlink" Target="https://login.consultant.ru/link/?req=doc&amp;base=LAW&amp;n=441135" TargetMode="External"/><Relationship Id="rId41" Type="http://schemas.openxmlformats.org/officeDocument/2006/relationships/hyperlink" Target="https://login.consultant.ru/link/?req=doc&amp;base=LAW&amp;n=441135" TargetMode="External"/><Relationship Id="rId42" Type="http://schemas.openxmlformats.org/officeDocument/2006/relationships/hyperlink" Target="https://login.consultant.ru/link/?req=doc&amp;base=LAW&amp;n=441135" TargetMode="External"/><Relationship Id="rId43" Type="http://schemas.openxmlformats.org/officeDocument/2006/relationships/hyperlink" Target="https://login.consultant.ru/link/?req=doc&amp;base=LAW&amp;n=441135" TargetMode="External"/><Relationship Id="rId44" Type="http://schemas.openxmlformats.org/officeDocument/2006/relationships/hyperlink" Target="https://login.consultant.ru/link/?req=doc&amp;base=LAW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Косарева</dc:creator>
  <cp:revision>2</cp:revision>
  <dcterms:created xsi:type="dcterms:W3CDTF">2025-05-23T12:40:00Z</dcterms:created>
  <dcterms:modified xsi:type="dcterms:W3CDTF">2025-10-31T12:10:53Z</dcterms:modified>
</cp:coreProperties>
</file>